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04" w:rsidRPr="00507274" w:rsidRDefault="00B25B04" w:rsidP="00721F16">
      <w:pPr>
        <w:spacing w:after="120" w:line="240" w:lineRule="auto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507274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INFORMÁCIA K VYHODNOTENIU EKONOMICKEJ DIPLOMACIE </w:t>
      </w:r>
      <w:r w:rsidR="00721F1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S</w:t>
      </w:r>
      <w:r w:rsidR="00D03090" w:rsidRPr="00507274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R</w:t>
      </w:r>
      <w:r w:rsidRPr="00507274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ZA ROK 2018</w:t>
      </w:r>
    </w:p>
    <w:p w:rsidR="00B25B04" w:rsidRPr="000B5198" w:rsidRDefault="00B25B04" w:rsidP="00B25B04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  <w:r w:rsidRPr="000B5198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  <w:t>(materiál na diskusiu)</w:t>
      </w:r>
    </w:p>
    <w:p w:rsidR="00B25B04" w:rsidRPr="00D03090" w:rsidRDefault="00B25B04" w:rsidP="00D0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8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2EC5" wp14:editId="098C3434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7054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0222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05pt" to="450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637474" w:rsidRPr="00637474" w:rsidRDefault="0063747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12"/>
          <w:szCs w:val="12"/>
        </w:rPr>
      </w:pPr>
    </w:p>
    <w:p w:rsidR="00B25B04" w:rsidRPr="005072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Informácia k spôsobu </w:t>
      </w:r>
      <w:r w:rsidR="006374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vy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hodnotenia ekonomickej diplomacie SR za rok 2018 je predložená na rokovanie Rady vlády SR na podporu exportu a investícií (RVPEI) v podobe stručného materiálu na diskusiu </w:t>
      </w:r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</w:t>
      </w:r>
      <w:proofErr w:type="spellStart"/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discussion</w:t>
      </w:r>
      <w:proofErr w:type="spellEnd"/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paper</w:t>
      </w:r>
      <w:proofErr w:type="spellEnd"/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)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 súvislosti s prípravou materiálu </w:t>
      </w:r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„Správa o stave a výsledkoch ekonomickej diplomacie za rok 2018“.</w:t>
      </w:r>
    </w:p>
    <w:p w:rsidR="00B25B04" w:rsidRPr="006374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B25B04" w:rsidRPr="005072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50727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SITUÁCIA:</w:t>
      </w:r>
    </w:p>
    <w:p w:rsidR="00B25B04" w:rsidRPr="005072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5B04" w:rsidRPr="005072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Vláda SR schválila „</w:t>
      </w:r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Správu o stave a výsledkoch ekonomickej diplomacie za rok 2017“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až       23. mája 2018. Dôvodom neskorého prerokovania minuloročnej správy vládou SR bola požiadavka prerokovať ju predtým na RVPEI. Keďže však RVPEI zasadala až 9. mája 2018 (predtým 15.3.2017), došlo k situácii, že správa o ekonomickej diplomacii za rok 2017 síce bola predložená na rokovanie vlády už v januári 2018, ale vláda SR ju prerokovala až 23. mája 2018, čiže po piatich mesiacoch a so stratou aktuálnosti. </w:t>
      </w:r>
    </w:p>
    <w:p w:rsidR="00B25B04" w:rsidRPr="006374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12"/>
          <w:szCs w:val="12"/>
        </w:rPr>
      </w:pPr>
    </w:p>
    <w:p w:rsidR="00B25B04" w:rsidRPr="005072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Takémuto časovému sklzu sa chceme v tomto roku vyhnúť. </w:t>
      </w:r>
      <w:proofErr w:type="spellStart"/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MZVaEZ</w:t>
      </w:r>
      <w:proofErr w:type="spellEnd"/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SR sa preto rozhodlo nastaviť proces prípravy správy o ekonomickej diplomacii za rok 2018 tak, aby sa ňou RVPEI zaoberala v predstihu, a to ešte pred samotným vypracovaním materiálu (aj pred ukončením roka). </w:t>
      </w:r>
    </w:p>
    <w:p w:rsidR="00B25B04" w:rsidRPr="00637474" w:rsidRDefault="00B25B04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12"/>
          <w:szCs w:val="12"/>
        </w:rPr>
      </w:pPr>
    </w:p>
    <w:p w:rsidR="002352CE" w:rsidRPr="00507274" w:rsidRDefault="002352CE" w:rsidP="009756C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Pozícia SR vo svete a možnosti, ktoré máme na ovplyvňovanie diania v zahraničí závisia od hospodárskej sily Slovenska. Na dosahovanie zahraničnopolitických cieľov preto potrebuje</w:t>
      </w:r>
      <w:r w:rsidR="000035A1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me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doma silnú ekonomiku. Silné hospodárstvo krajiny je predpokladom na jej vplyv v medzinárodnom meradle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no zároveň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 je priamo ovplyvnené úspešnosťou SR a slovenských firiem v zahraničnom obchode. Vláda SR preto podporuje akékoľvek aktivity smerujúce k pomoci slovenským podnikateľským subjektom presadiť sa </w:t>
      </w:r>
      <w:r w:rsidR="005B6815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so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svojimi produktmi na zahraničných trhoch. Záujmom vlády a jej ekonomickej diplomacie je „otvárať dvere“ a zabezpečiť vhodné podmienky pre presadzovanie záujmov slovenských podnikateľov v zahraničí. 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Vytvárať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kontakty a osobné väzby v zahraničí, ktoré pom</w:t>
      </w:r>
      <w:r w:rsidR="00D35EC7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áhajú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našim firmám obchodovať či investovať, láka</w:t>
      </w:r>
      <w:r w:rsidR="00925F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ť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nové zahraničné investície na Slovensko, identifik</w:t>
      </w:r>
      <w:r w:rsidR="00925F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ovať</w:t>
      </w:r>
      <w:bookmarkStart w:id="0" w:name="_GoBack"/>
      <w:bookmarkEnd w:id="0"/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bariéry obchodu, ktoré by firmy potrebovali prelomiť. Aj keď je </w:t>
      </w:r>
      <w:r w:rsidR="009756C5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navonok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ekonomická diplomacia v práci rezortu zahraničných vecí menej viditeľná</w:t>
      </w:r>
      <w:r w:rsidR="00F80CD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 ťažko merateľná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je jedným z hlavných prvko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poslania ministerstva. Chceme preto, aby podnikateľské zväzy a združenia boli našimi partnermi aj pri nastavovaní spôsobu vyhodnocovania ekonomickej diplomacie. A práve 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formou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diskusi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o štruktúre </w:t>
      </w:r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„Správy o stave a výsledkoch ekonomickej diplomacie za rok 2018“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na rokovaní RVPEI dňa 21. novembra 2018 </w:t>
      </w:r>
      <w:r w:rsidR="00A9787F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ponúkame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možnosť</w:t>
      </w:r>
      <w:r w:rsidR="005275A1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vo väčšej miere zohľadniť názory všetkých partnerských inštitúcií (najmä ÚPPVII, MF SR, MH SR, MŠVVaŠ SR, MPRV SR, MDV SR, MPSVR SR, EXIMBANKA SR, SARIO, SBA,...) </w:t>
      </w:r>
      <w:r w:rsidR="009756C5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na spôsob hodnotenia ekonomickej diplomacie</w:t>
      </w:r>
      <w:r w:rsidR="009756C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115B6" w:rsidRPr="00637474" w:rsidRDefault="001115B6" w:rsidP="002352CE">
      <w:pPr>
        <w:spacing w:after="120" w:line="240" w:lineRule="auto"/>
        <w:jc w:val="both"/>
        <w:rPr>
          <w:rFonts w:ascii="Times New Roman" w:hAnsi="Times New Roman" w:cs="Times New Roman"/>
          <w:color w:val="404040" w:themeColor="text1" w:themeTint="BF"/>
          <w:sz w:val="8"/>
          <w:szCs w:val="8"/>
        </w:rPr>
      </w:pPr>
    </w:p>
    <w:p w:rsidR="00B25B04" w:rsidRPr="00507274" w:rsidRDefault="00B25B04" w:rsidP="001115B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MZVaEZ</w:t>
      </w:r>
      <w:proofErr w:type="spellEnd"/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SR pri tvorbe materiálu </w:t>
      </w:r>
      <w:r w:rsidR="001115B6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zohľadní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podnety, návrhy a pripomienky RVPEI k vyhodnoteniu ekonomickej diplomacie SR za rok 2018. </w:t>
      </w:r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„Správa o stave a výsledkoch ekonomickej diplomacie za rok 2018“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bude </w:t>
      </w:r>
      <w:r w:rsidR="001115B6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potom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predložená do medzirezortného pripomienkového konania, v ktorom budú mať pripomienkujúce subjekty ďalšiu možnosť uplatniť svoje pripomienky. Následne bude do konca januára 2019 </w:t>
      </w:r>
      <w:r w:rsidR="00AB3E09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predložená na rokovanie vlády 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(v zmysle úlohy z uznesenia vlády SR č. 242 z 23. mája 2018).</w:t>
      </w:r>
      <w:r w:rsidR="001115B6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84E73" w:rsidRPr="00507274" w:rsidRDefault="00684E73" w:rsidP="003F2E1E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20B48" w:rsidRPr="00507274" w:rsidRDefault="00684E73" w:rsidP="00120B48">
      <w:pPr>
        <w:pStyle w:val="Odsekzoznamu"/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ŠTRUKTÚRA SPRÁVY O</w:t>
      </w:r>
      <w:r w:rsidR="00120B48" w:rsidRPr="0050727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 </w:t>
      </w:r>
      <w:r w:rsidRPr="0050727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E</w:t>
      </w:r>
      <w:r w:rsidR="00120B48" w:rsidRPr="0050727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KONOMICKEJ DIPLOMACII</w:t>
      </w:r>
      <w:r w:rsidRPr="0050727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ZA ROK 2018</w:t>
      </w:r>
    </w:p>
    <w:p w:rsidR="003F2E1E" w:rsidRPr="00507274" w:rsidRDefault="00120B48" w:rsidP="00120B48">
      <w:pPr>
        <w:pStyle w:val="Odsekzoznamu"/>
        <w:spacing w:after="0" w:line="240" w:lineRule="auto"/>
        <w:ind w:left="0"/>
        <w:contextualSpacing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(NÁVRH SHSP)</w:t>
      </w:r>
    </w:p>
    <w:p w:rsidR="003F2E1E" w:rsidRPr="00507274" w:rsidRDefault="003F2E1E" w:rsidP="003F2E1E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F2E1E" w:rsidRPr="00507274" w:rsidRDefault="003F2E1E" w:rsidP="003F2E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1.</w:t>
      </w: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  <w:t xml:space="preserve"> Súhrnné hodnotenie výsledkov ekonomickej diplomacie za rok 2018</w:t>
      </w: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</w:p>
    <w:p w:rsidR="003F2E1E" w:rsidRPr="00507274" w:rsidRDefault="003F2E1E" w:rsidP="003F2E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</w:p>
    <w:p w:rsidR="003F2E1E" w:rsidRPr="00507274" w:rsidRDefault="003F2E1E" w:rsidP="003F2E1E">
      <w:pPr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Aktivity zamerané na podnikateľskú a odbornú verejnosť</w:t>
      </w: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</w: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</w:r>
    </w:p>
    <w:p w:rsidR="003F2E1E" w:rsidRPr="00507274" w:rsidRDefault="003F2E1E" w:rsidP="003F2E1E">
      <w:pPr>
        <w:numPr>
          <w:ilvl w:val="1"/>
          <w:numId w:val="1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Podpora  medzinárodnej spolupráce v oblasti vedy, výskumu a inovácií</w:t>
      </w:r>
    </w:p>
    <w:p w:rsidR="003F2E1E" w:rsidRPr="00507274" w:rsidRDefault="003F2E1E" w:rsidP="003F2E1E">
      <w:pPr>
        <w:numPr>
          <w:ilvl w:val="1"/>
          <w:numId w:val="1"/>
        </w:numPr>
        <w:spacing w:after="0" w:line="240" w:lineRule="auto"/>
        <w:ind w:hanging="79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Ekonomická diplomacia v oblasti prierezových a globálnych tém s ekonomickým </w:t>
      </w:r>
    </w:p>
    <w:p w:rsidR="003F2E1E" w:rsidRPr="00507274" w:rsidRDefault="003F2E1E" w:rsidP="003F2E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 xml:space="preserve">  vplyvom</w:t>
      </w:r>
    </w:p>
    <w:p w:rsidR="003F2E1E" w:rsidRPr="00507274" w:rsidRDefault="003F2E1E" w:rsidP="003F2E1E">
      <w:pPr>
        <w:numPr>
          <w:ilvl w:val="1"/>
          <w:numId w:val="1"/>
        </w:numPr>
        <w:spacing w:after="0" w:line="240" w:lineRule="auto"/>
        <w:ind w:hanging="792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</w:pP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>Multilaterálna ekonomická diplomacia</w:t>
      </w: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</w: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</w: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</w:r>
      <w:r w:rsidRPr="0050727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sk-SK"/>
        </w:rPr>
        <w:tab/>
      </w:r>
    </w:p>
    <w:p w:rsidR="003F2E1E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A31FCD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2. </w:t>
      </w: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  <w:t xml:space="preserve">Výzvy a úlohy budúceho obdobia </w:t>
      </w: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</w:p>
    <w:p w:rsidR="00A31FCD" w:rsidRPr="00507274" w:rsidRDefault="00A31FCD" w:rsidP="003F2E1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3F2E1E" w:rsidRPr="00507274" w:rsidRDefault="00A31FCD" w:rsidP="003F2E1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3. </w:t>
      </w:r>
      <w:r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  <w:t>Faktografická časť</w:t>
      </w:r>
      <w:r w:rsidR="003F2E1E"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  <w:r w:rsidR="003F2E1E"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  <w:r w:rsidR="003F2E1E"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  <w:r w:rsidR="003F2E1E" w:rsidRPr="00507274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ab/>
      </w:r>
    </w:p>
    <w:p w:rsidR="003F2E1E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3F2E1E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Príloha č. 1: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Bilaterálna ekonomická diplomacia</w:t>
      </w:r>
    </w:p>
    <w:p w:rsidR="00A31FCD" w:rsidRPr="00507274" w:rsidRDefault="00A31FCD" w:rsidP="00A31FC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(i)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Aktivity zamerané na plnenie obchodno-politických cieľov ekonomickej spolupráce podľa teritórií</w:t>
      </w:r>
    </w:p>
    <w:p w:rsidR="00A31FCD" w:rsidRPr="00507274" w:rsidRDefault="00A31FCD" w:rsidP="00A31FC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(ii)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Aktivity so zameraním na podporu domácich i zahraničných investícií</w:t>
      </w:r>
    </w:p>
    <w:p w:rsidR="003F2E1E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Príloha č. 2: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Multilaterálna ekonomická diplomacia</w:t>
      </w:r>
    </w:p>
    <w:p w:rsidR="00840140" w:rsidRPr="00507274" w:rsidRDefault="00840140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(i)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Spoločná obchodná politika EÚ a medzinárodný obchod</w:t>
      </w:r>
    </w:p>
    <w:p w:rsidR="00840140" w:rsidRPr="00507274" w:rsidRDefault="00840140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(ii)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OECD a ďalšie medzinárodné obchodné organizácie</w:t>
      </w:r>
    </w:p>
    <w:p w:rsidR="003F2E1E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Príloha č. 3: 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Inštitucionálna spolupráca v oblasti ekonomickej diplomacie</w:t>
      </w:r>
    </w:p>
    <w:p w:rsidR="00840140" w:rsidRPr="00507274" w:rsidRDefault="00840140" w:rsidP="00B25B04">
      <w:pPr>
        <w:spacing w:after="0" w:line="276" w:lineRule="auto"/>
        <w:ind w:left="2124" w:firstLine="6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(i)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Nástroje pre koordináciu spolupráce (RVPEI, Rada SARIO</w:t>
      </w:r>
      <w:r w:rsidR="00B25B04"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Digitálna koalícia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)</w:t>
      </w:r>
    </w:p>
    <w:p w:rsidR="00840140" w:rsidRPr="00507274" w:rsidRDefault="00840140" w:rsidP="00840140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(ii)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Aktivity partnerských inštitúcií v oblasti ekonomickej diplomacie </w:t>
      </w:r>
    </w:p>
    <w:p w:rsidR="00840140" w:rsidRPr="00507274" w:rsidRDefault="00840140" w:rsidP="00840140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(vstupy ÚPPVII, MF SR, MH SR, MŠVVaŠ SR, MPRV SR, MDV SR, </w:t>
      </w:r>
    </w:p>
    <w:p w:rsidR="00840140" w:rsidRPr="00507274" w:rsidRDefault="00840140" w:rsidP="003E6F9D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MPSVR SR, </w:t>
      </w:r>
      <w:r w:rsidR="003E6F9D"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EXIMBANKA SR, SARIO, SBA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)</w:t>
      </w:r>
    </w:p>
    <w:p w:rsidR="003F2E1E" w:rsidRPr="00507274" w:rsidRDefault="003F2E1E" w:rsidP="003F2E1E">
      <w:pPr>
        <w:spacing w:after="0" w:line="276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Príloha č. 4: 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Výskumná a inovačná spolupráca so zahraničím</w:t>
      </w:r>
      <w:r w:rsidR="00B25B04"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inovačná diplomacia</w:t>
      </w:r>
    </w:p>
    <w:p w:rsidR="003F2E1E" w:rsidRPr="00507274" w:rsidRDefault="003F2E1E" w:rsidP="003F2E1E">
      <w:pPr>
        <w:spacing w:after="0" w:line="276" w:lineRule="auto"/>
        <w:ind w:left="2124" w:hanging="1415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Príloha č. 5: 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Projekty v rámci Projektovej schémy na podporu ekonomickej diplomacie</w:t>
      </w:r>
    </w:p>
    <w:p w:rsidR="003F2E1E" w:rsidRPr="00507274" w:rsidRDefault="003F2E1E" w:rsidP="003F2E1E">
      <w:pPr>
        <w:spacing w:after="0" w:line="276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Príloha č. 6: </w:t>
      </w:r>
      <w:r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Audit podnikateľských misií</w:t>
      </w:r>
      <w:r w:rsidR="00F753C5" w:rsidRPr="00507274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za rok 2018</w:t>
      </w:r>
    </w:p>
    <w:p w:rsidR="003F2E1E" w:rsidRPr="00507274" w:rsidRDefault="003F2E1E" w:rsidP="003F2E1E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20B48" w:rsidRPr="00507274" w:rsidRDefault="00120B48" w:rsidP="003F2E1E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7208E" w:rsidRPr="00507274" w:rsidRDefault="00D7208E" w:rsidP="003F2E1E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20B48" w:rsidRPr="00507274" w:rsidRDefault="00120B48" w:rsidP="00786640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Spracoval</w:t>
      </w:r>
      <w:r w:rsidR="00721F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</w:t>
      </w:r>
      <w:r w:rsidR="00D7208E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D7208E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Z</w:t>
      </w:r>
      <w:r w:rsidR="00D7208E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Šipošová</w:t>
      </w:r>
      <w:r w:rsidR="00721F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(R POCE)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721F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P. Petian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="00721F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POCE) </w:t>
      </w:r>
    </w:p>
    <w:p w:rsidR="00D7208E" w:rsidRPr="00507274" w:rsidRDefault="00D7208E" w:rsidP="00786640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86640" w:rsidRPr="00507274" w:rsidRDefault="00D7208E" w:rsidP="00786640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Schválil: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Matulay</w:t>
      </w:r>
      <w:r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GR SHSP</w:t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C85AFE" w:rsidRPr="00507274" w:rsidRDefault="00C85AFE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5B04" w:rsidRPr="00507274" w:rsidRDefault="00C85AFE" w:rsidP="00B25B04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Dátum: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16.</w:t>
      </w:r>
      <w:r w:rsidR="00D7208E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november </w:t>
      </w:r>
      <w:r w:rsidR="00B25B04" w:rsidRPr="005072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2018</w:t>
      </w:r>
    </w:p>
    <w:p w:rsidR="00786640" w:rsidRPr="00507274" w:rsidRDefault="00786640" w:rsidP="00786640">
      <w:pPr>
        <w:pStyle w:val="Odsekzoznamu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55FE3" w:rsidRDefault="00855FE3"/>
    <w:sectPr w:rsidR="00855F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7B" w:rsidRDefault="0046557B" w:rsidP="0046557B">
      <w:pPr>
        <w:spacing w:after="0" w:line="240" w:lineRule="auto"/>
      </w:pPr>
      <w:r>
        <w:separator/>
      </w:r>
    </w:p>
  </w:endnote>
  <w:endnote w:type="continuationSeparator" w:id="0">
    <w:p w:rsidR="0046557B" w:rsidRDefault="0046557B" w:rsidP="0046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739209"/>
      <w:docPartObj>
        <w:docPartGallery w:val="Page Numbers (Bottom of Page)"/>
        <w:docPartUnique/>
      </w:docPartObj>
    </w:sdtPr>
    <w:sdtEndPr/>
    <w:sdtContent>
      <w:p w:rsidR="0046557B" w:rsidRDefault="0046557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19">
          <w:rPr>
            <w:noProof/>
          </w:rPr>
          <w:t>2</w:t>
        </w:r>
        <w:r>
          <w:fldChar w:fldCharType="end"/>
        </w:r>
      </w:p>
    </w:sdtContent>
  </w:sdt>
  <w:p w:rsidR="0046557B" w:rsidRDefault="004655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7B" w:rsidRDefault="0046557B" w:rsidP="0046557B">
      <w:pPr>
        <w:spacing w:after="0" w:line="240" w:lineRule="auto"/>
      </w:pPr>
      <w:r>
        <w:separator/>
      </w:r>
    </w:p>
  </w:footnote>
  <w:footnote w:type="continuationSeparator" w:id="0">
    <w:p w:rsidR="0046557B" w:rsidRDefault="0046557B" w:rsidP="0046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B5C"/>
    <w:multiLevelType w:val="multilevel"/>
    <w:tmpl w:val="A5785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40"/>
    <w:rsid w:val="000035A1"/>
    <w:rsid w:val="0002308B"/>
    <w:rsid w:val="00077B60"/>
    <w:rsid w:val="000A6223"/>
    <w:rsid w:val="00111120"/>
    <w:rsid w:val="001115B6"/>
    <w:rsid w:val="00120B48"/>
    <w:rsid w:val="001356BB"/>
    <w:rsid w:val="00147AE4"/>
    <w:rsid w:val="00190F8D"/>
    <w:rsid w:val="002340A6"/>
    <w:rsid w:val="002352CE"/>
    <w:rsid w:val="002E2FD4"/>
    <w:rsid w:val="003E6F9D"/>
    <w:rsid w:val="003F2E1E"/>
    <w:rsid w:val="004203A5"/>
    <w:rsid w:val="004232A2"/>
    <w:rsid w:val="004462AE"/>
    <w:rsid w:val="0046557B"/>
    <w:rsid w:val="00500538"/>
    <w:rsid w:val="00507274"/>
    <w:rsid w:val="005075E7"/>
    <w:rsid w:val="005275A1"/>
    <w:rsid w:val="00544FD9"/>
    <w:rsid w:val="00554C3C"/>
    <w:rsid w:val="00575126"/>
    <w:rsid w:val="005B6815"/>
    <w:rsid w:val="005E7DBA"/>
    <w:rsid w:val="00623213"/>
    <w:rsid w:val="00627584"/>
    <w:rsid w:val="00637474"/>
    <w:rsid w:val="00670D9C"/>
    <w:rsid w:val="00684E73"/>
    <w:rsid w:val="006A20FB"/>
    <w:rsid w:val="00721F16"/>
    <w:rsid w:val="00786640"/>
    <w:rsid w:val="0079683C"/>
    <w:rsid w:val="00807A14"/>
    <w:rsid w:val="008300C9"/>
    <w:rsid w:val="00840140"/>
    <w:rsid w:val="00855FE3"/>
    <w:rsid w:val="00885FD3"/>
    <w:rsid w:val="00925F19"/>
    <w:rsid w:val="00947A56"/>
    <w:rsid w:val="009706B5"/>
    <w:rsid w:val="009756C5"/>
    <w:rsid w:val="009B24AC"/>
    <w:rsid w:val="009D4B93"/>
    <w:rsid w:val="00A03C4A"/>
    <w:rsid w:val="00A17D4D"/>
    <w:rsid w:val="00A2035F"/>
    <w:rsid w:val="00A31FCD"/>
    <w:rsid w:val="00A80363"/>
    <w:rsid w:val="00A9787F"/>
    <w:rsid w:val="00AB3E09"/>
    <w:rsid w:val="00AC2ADF"/>
    <w:rsid w:val="00B25B04"/>
    <w:rsid w:val="00B52275"/>
    <w:rsid w:val="00BB6B16"/>
    <w:rsid w:val="00BB6C79"/>
    <w:rsid w:val="00BD4941"/>
    <w:rsid w:val="00BF3720"/>
    <w:rsid w:val="00C10623"/>
    <w:rsid w:val="00C36C5B"/>
    <w:rsid w:val="00C61B40"/>
    <w:rsid w:val="00C85AFE"/>
    <w:rsid w:val="00C96F52"/>
    <w:rsid w:val="00CE5A19"/>
    <w:rsid w:val="00D03090"/>
    <w:rsid w:val="00D12761"/>
    <w:rsid w:val="00D142CE"/>
    <w:rsid w:val="00D35EC7"/>
    <w:rsid w:val="00D7208E"/>
    <w:rsid w:val="00D86809"/>
    <w:rsid w:val="00DB39A4"/>
    <w:rsid w:val="00E81FD1"/>
    <w:rsid w:val="00EF3BBD"/>
    <w:rsid w:val="00EF45AC"/>
    <w:rsid w:val="00F00A71"/>
    <w:rsid w:val="00F753C5"/>
    <w:rsid w:val="00F80CD4"/>
    <w:rsid w:val="00F82D0A"/>
    <w:rsid w:val="00FA54D2"/>
    <w:rsid w:val="00FB5BE9"/>
    <w:rsid w:val="00FC6330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BF7F"/>
  <w15:chartTrackingRefBased/>
  <w15:docId w15:val="{C6A52297-8E28-4FE0-8C3C-AA75B51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,body,Dot pt,No Spacing1,List Paragraph Char Char Char,Indicator Text,Numbered Para 1,List Paragraph à moi,Odsek zoznamu4,Odsek zoznamu5,F5 List Paragraph,Recommendation,List Paragraph11,LISTA,Listaszerű bekezdés2,3"/>
    <w:basedOn w:val="Normlny"/>
    <w:link w:val="OdsekzoznamuChar"/>
    <w:uiPriority w:val="34"/>
    <w:qFormat/>
    <w:rsid w:val="0078664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zoznamu2 Char,body Char,Dot pt Char,No Spacing1 Char,List Paragraph Char Char Char Char,Indicator Text Char,Numbered Para 1 Char,List Paragraph à moi Char,Odsek zoznamu4 Char,Odsek zoznamu5 Char,F5 List Paragraph Char,LISTA Char"/>
    <w:link w:val="Odsekzoznamu"/>
    <w:uiPriority w:val="34"/>
    <w:qFormat/>
    <w:locked/>
    <w:rsid w:val="00B25B0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5A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557B"/>
  </w:style>
  <w:style w:type="paragraph" w:styleId="Pta">
    <w:name w:val="footer"/>
    <w:basedOn w:val="Normlny"/>
    <w:link w:val="PtaChar"/>
    <w:uiPriority w:val="99"/>
    <w:unhideWhenUsed/>
    <w:rsid w:val="0046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Siposova Zlata /POCE/MZV</dc:creator>
  <cp:keywords/>
  <dc:description/>
  <cp:lastModifiedBy>Petian Peter/ZU Washington/MZV</cp:lastModifiedBy>
  <cp:revision>23</cp:revision>
  <cp:lastPrinted>2018-11-16T14:57:00Z</cp:lastPrinted>
  <dcterms:created xsi:type="dcterms:W3CDTF">2018-11-16T09:52:00Z</dcterms:created>
  <dcterms:modified xsi:type="dcterms:W3CDTF">2018-11-16T16:56:00Z</dcterms:modified>
</cp:coreProperties>
</file>