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E9" w:rsidRPr="003B77C8" w:rsidRDefault="00D53D7D" w:rsidP="003B77C8">
      <w:pPr>
        <w:spacing w:after="120" w:line="240" w:lineRule="auto"/>
        <w:rPr>
          <w:rFonts w:ascii="Times New Roman" w:hAnsi="Times New Roman" w:cs="Times New Roman"/>
          <w:b/>
          <w:color w:val="404040" w:themeColor="text1" w:themeTint="BF"/>
          <w:spacing w:val="-2"/>
          <w:sz w:val="28"/>
          <w:szCs w:val="28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8"/>
          <w:szCs w:val="28"/>
        </w:rPr>
        <w:t>INFORMÁCIA K EKONOMICKÝM VPLYVOM</w:t>
      </w:r>
      <w:r w:rsidR="00CD7D3C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8"/>
          <w:szCs w:val="28"/>
        </w:rPr>
        <w:t xml:space="preserve"> BREXITU NA SR</w:t>
      </w:r>
    </w:p>
    <w:p w:rsidR="00EF12E9" w:rsidRPr="00DD7B69" w:rsidRDefault="00EF12E9" w:rsidP="003B77C8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DD7B6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(materiál na diskusiu)</w:t>
      </w:r>
    </w:p>
    <w:p w:rsidR="00EF12E9" w:rsidRPr="00DD7B69" w:rsidRDefault="00EF12E9" w:rsidP="00EF12E9">
      <w:pPr>
        <w:pStyle w:val="Odsekzoznamu"/>
        <w:spacing w:after="0" w:line="240" w:lineRule="auto"/>
        <w:jc w:val="both"/>
        <w:rPr>
          <w:color w:val="FF0000"/>
          <w:sz w:val="24"/>
          <w:szCs w:val="24"/>
        </w:rPr>
      </w:pPr>
      <w:r w:rsidRPr="00DD7B69">
        <w:rPr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3181" wp14:editId="0B9E097E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7054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EBEA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05pt" to="450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67CE4" w:rsidRPr="003B77C8" w:rsidRDefault="00967CE4" w:rsidP="003452A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Rokovania o dohode o vystúpení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Spojeného kráľovstva Veľkej Británie a Severného Írska (ďalej „</w:t>
      </w:r>
      <w:r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UK“) z EÚ </w:t>
      </w:r>
      <w:r w:rsidR="009B64B0"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dosiahli svoj kulminačný bod dňa </w:t>
      </w:r>
      <w:r w:rsidR="009B64B0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14.</w:t>
      </w:r>
      <w:r w:rsidR="00DD7B69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 </w:t>
      </w:r>
      <w:r w:rsidR="009B64B0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11.</w:t>
      </w:r>
      <w:r w:rsidR="00DD7B69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 </w:t>
      </w:r>
      <w:r w:rsidR="009B64B0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2018</w:t>
      </w:r>
      <w:r w:rsidR="009B64B0"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, kedy bola </w:t>
      </w:r>
      <w:r w:rsidR="009B64B0"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Dohoda dosiahnutá na úrovni hlavných vyjednávačov schválená britskou vládou.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Nachádzame sa </w:t>
      </w:r>
      <w:r w:rsidR="009B64B0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teda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 záverečnej a zároveň kritickej fáze celého procesu. </w:t>
      </w:r>
      <w:r w:rsidR="009B64B0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Text Dohody predstavuje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najlepší</w:t>
      </w:r>
      <w:r w:rsidR="009B64B0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možný scenár</w:t>
      </w:r>
      <w:r w:rsidR="007A58A6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pre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obe strany, pretože minimalizuje negatívne dopady na občanov a</w:t>
      </w:r>
      <w:r w:rsidR="009B64B0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podnikateľov</w:t>
      </w:r>
      <w:r w:rsidR="009B64B0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Rozhodnutie britskej vlády predstavuje istý posun v rokovaniach, ktorý prichádza po vyše roku a pol intenzívnej prípravy v rámci EÚ27 a negociácií s britskou stranou. Zároveň proces stále nie je skončený, keďže záverečné slovo v schvaľovaní dohody má na UK strane britský parlament. </w:t>
      </w:r>
    </w:p>
    <w:p w:rsidR="003078B4" w:rsidRPr="003B77C8" w:rsidRDefault="008D7983" w:rsidP="003452A9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</w:pP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Najbližší vývoj predpokladá súčasne i schvaľovanie v Európskom parlamente, ktoré sa však javí podstatne menej problematické v porovnaní s britským. Vzhľadom na turbulentný vývoj na britskej vnútropolitickej scéne nemožno vylúčiť, že britský parlament dohodu neschváli.</w:t>
      </w:r>
      <w:r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 Odchod bez dohody,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tzv. </w:t>
      </w:r>
      <w:r w:rsidRPr="006D125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sk-SK"/>
        </w:rPr>
        <w:t>no</w:t>
      </w:r>
      <w:r w:rsidR="006D125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sk-SK"/>
        </w:rPr>
        <w:t>-</w:t>
      </w:r>
      <w:proofErr w:type="spellStart"/>
      <w:r w:rsidRPr="006D125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sk-SK"/>
        </w:rPr>
        <w:t>deal</w:t>
      </w:r>
      <w:proofErr w:type="spellEnd"/>
      <w:r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,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by priniesol negatívne ekonomické a tiež politické následky, </w:t>
      </w:r>
      <w:r w:rsidRPr="003B77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právnu neistotu a okamžité adaptovanie sa na nové pomery pre občanov, firmy, verejný sektor. </w:t>
      </w:r>
      <w:r w:rsidR="003078B4"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 </w:t>
      </w:r>
      <w:r w:rsidR="00AB172F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>Scenár n</w:t>
      </w:r>
      <w:r w:rsidR="003078B4" w:rsidRPr="00143390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o</w:t>
      </w:r>
      <w:r w:rsidR="00143390" w:rsidRPr="00143390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-</w:t>
      </w:r>
      <w:proofErr w:type="spellStart"/>
      <w:r w:rsidR="003078B4" w:rsidRPr="00143390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deal</w:t>
      </w:r>
      <w:proofErr w:type="spellEnd"/>
      <w:r w:rsidR="003078B4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</w:t>
      </w:r>
      <w:r w:rsidR="003078B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by</w:t>
      </w:r>
      <w:r w:rsidR="003078B4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</w:t>
      </w:r>
      <w:r w:rsidR="003078B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znamenal aj absenciu prechodného obdobia, čiže už od 29.</w:t>
      </w:r>
      <w:r w:rsidR="00DD7B6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078B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3.</w:t>
      </w:r>
      <w:r w:rsidR="00DD7B6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078B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2019 by pre slovenské subjekty začali platiť nové pravidlá. </w:t>
      </w:r>
      <w:r w:rsidR="003078B4"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>Z hľadiska SR ide o najmenej žiaduci scenár, ale vzhľadom na množstvo faktorov, ktoré môžu zabrániť dohode, je potrebné sa naň</w:t>
      </w:r>
      <w:r w:rsidR="00143390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>ho</w:t>
      </w:r>
      <w:r w:rsidR="003078B4"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 pripraviť. </w:t>
      </w:r>
    </w:p>
    <w:p w:rsidR="00EF6ECF" w:rsidRPr="003B77C8" w:rsidRDefault="00EF6ECF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 xml:space="preserve">Preto sa v zmysle zásad krízového manažmentu sústreďujeme na analýzu dopadov tvrdého </w:t>
      </w:r>
      <w:proofErr w:type="spellStart"/>
      <w:r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>brexitu</w:t>
      </w:r>
      <w:proofErr w:type="spellEnd"/>
      <w:r w:rsidRPr="003B77C8">
        <w:rPr>
          <w:rFonts w:ascii="Times New Roman" w:eastAsiaTheme="minorEastAsia" w:hAnsi="Times New Roman" w:cs="Times New Roman"/>
          <w:color w:val="404040" w:themeColor="text1" w:themeTint="BF"/>
          <w:spacing w:val="-2"/>
          <w:sz w:val="24"/>
          <w:szCs w:val="24"/>
          <w:lang w:eastAsia="zh-CN" w:bidi="hi-IN"/>
        </w:rPr>
        <w:t>.</w:t>
      </w:r>
    </w:p>
    <w:p w:rsidR="00E85E9A" w:rsidRPr="003B77C8" w:rsidRDefault="00E85E9A" w:rsidP="003452A9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Hospodársky rast</w:t>
      </w:r>
    </w:p>
    <w:p w:rsidR="00331B0B" w:rsidRPr="003B77C8" w:rsidRDefault="00E658EE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Slovensko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ako 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tretia najotvorenejšia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ekonomika 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EÚ (po LU a IE)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nebude imúnn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voči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negatívnym vplyvom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brexitu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Očakáva sa, že dopady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naše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hospodárstvo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budú predovšetkým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10"/>
          <w:sz w:val="24"/>
          <w:szCs w:val="24"/>
        </w:rPr>
        <w:t>nepriame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 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ich rozsah bude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závis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ieť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od 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výšky škôd 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hlavných obchodných partnerov</w:t>
      </w:r>
      <w:r w:rsidR="0083080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SR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3510C0" w:rsidRPr="003B77C8">
        <w:rPr>
          <w:rFonts w:ascii="Times New Roman" w:eastAsia="Times New Roman" w:hAnsi="Times New Roman" w:cs="Times New Roman"/>
          <w:color w:val="404040" w:themeColor="text1" w:themeTint="BF"/>
          <w:spacing w:val="-2"/>
          <w:sz w:val="24"/>
          <w:szCs w:val="24"/>
          <w:lang w:eastAsia="en-GB"/>
        </w:rPr>
        <w:t xml:space="preserve"> </w:t>
      </w:r>
      <w:r w:rsidR="001D358C" w:rsidRPr="003B77C8">
        <w:rPr>
          <w:rFonts w:ascii="Times New Roman" w:eastAsia="Times New Roman" w:hAnsi="Times New Roman" w:cs="Times New Roman"/>
          <w:color w:val="404040" w:themeColor="text1" w:themeTint="BF"/>
          <w:spacing w:val="-2"/>
          <w:sz w:val="24"/>
          <w:szCs w:val="24"/>
          <w:lang w:eastAsia="en-GB"/>
        </w:rPr>
        <w:t>N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ekontrolovaný brexit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by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podľa júlovej prognózy MMF</w:t>
      </w:r>
      <w:r w:rsidR="004049BC" w:rsidRPr="003B77C8">
        <w:rPr>
          <w:rStyle w:val="Odkaznapoznmkupodiarou"/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footnoteReference w:id="1"/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mal za následok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zníženie ekonomického rastu v 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krajinách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urozóny 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 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1,5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HDP</w:t>
      </w:r>
      <w:r w:rsidR="002B0EF2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do roku 2030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 porovnaní so scenárom, že UK by zostalo členom.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Rast HDP slovenskej ekonomiky by 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sa 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podľa tohto modelu 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znížil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o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0,4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Podľa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našich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odborníkov dôjde vplyvom </w:t>
      </w:r>
      <w:proofErr w:type="spellStart"/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brexitu</w:t>
      </w:r>
      <w:proofErr w:type="spellEnd"/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 </w:t>
      </w:r>
      <w:r w:rsidR="004F69D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pomaleniu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rastu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slovenskej ekonomiky </w:t>
      </w:r>
      <w:r w:rsidR="00F906C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 0,1-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0,2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ročne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pričom odhady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NBS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hovoria o znížení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rastu HDP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 úrovni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0,34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do roku 2020. </w:t>
      </w:r>
    </w:p>
    <w:p w:rsidR="003766FA" w:rsidRPr="003B77C8" w:rsidRDefault="001524A3" w:rsidP="003452A9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Obchodná</w:t>
      </w:r>
      <w:r w:rsidR="00270E35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výmena</w:t>
      </w:r>
    </w:p>
    <w:p w:rsidR="00260718" w:rsidRPr="003B77C8" w:rsidRDefault="00FE2628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Tradičnými vývoznými položkami zo SR do UK sú osobné vozidlá, elektrické stroje, nerastné palivá a chemikálie. Tieto 4 komoditné skupiny tvoria v súčasnosti okolo 84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slovenského exportu.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 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bolo v minulom roku naší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8. najvýznamnejším obchodným </w:t>
      </w:r>
      <w:r w:rsidR="004B4C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(obrat 6,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3 </w:t>
      </w:r>
      <w:r w:rsidR="004B4C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mld. EUR)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5.</w:t>
      </w:r>
      <w:r w:rsidR="004B4C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exportným partnerom </w:t>
      </w:r>
      <w:r w:rsidR="004B4C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(4,5 mld. EUR)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 aktívnou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obchodnou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bilanciou na strane SR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vyše 2,7 mld. EUR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pomernom vyjadrení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lani do UK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smerovalo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6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celkového vývozu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 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2,5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dovozu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SR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Štatistiky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za 8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mesiacov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201</w:t>
      </w:r>
      <w:r w:rsidR="00CD72E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8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ukazujú zníženie nášho exportu 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do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(87,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9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na dynamike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dovozu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sa pokles prejavuje ešte výraznejšie 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medziročne 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79,4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Spomaľovanie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obchodnej výmeny v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aktuálnom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roku </w:t>
      </w:r>
      <w:r w:rsidR="003E1E9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naznačuje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neist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ot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 pred odchodom UK z EÚ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 môže byť predzvesťou ešte väčšieho prehĺbenia negatívneho trendu </w:t>
      </w:r>
      <w:r w:rsidR="00BC694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 prípade tvrdého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brexitu</w:t>
      </w:r>
      <w:proofErr w:type="spellEnd"/>
      <w:r w:rsidR="00BC694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</w:p>
    <w:p w:rsidR="00331B0B" w:rsidRPr="003B77C8" w:rsidRDefault="00BC6941" w:rsidP="003452A9">
      <w:pPr>
        <w:spacing w:after="12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Uvedené p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redpoklady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potvrdzujú aj n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iektoré nezávislé medzinárodné štúdie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ktoré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varujú, že 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</w:t>
      </w:r>
      <w:r w:rsidR="00B00F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prípade obchodovania na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základe taríf WTO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by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zahraničný obchod UK s 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ČŠ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EÚ 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klesol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priemere o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30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,47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2,13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z celkového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obchodu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EU27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-UK).</w:t>
      </w:r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odľa </w:t>
      </w:r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štúdi</w:t>
      </w:r>
      <w:r w:rsidR="00C24182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e</w:t>
      </w:r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ESRI</w:t>
      </w:r>
      <w:r w:rsidR="00C24182" w:rsidRPr="003B77C8">
        <w:rPr>
          <w:rStyle w:val="Odkaznapoznmkupodiarou"/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footnoteReference w:id="2"/>
      </w:r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(</w:t>
      </w:r>
      <w:proofErr w:type="spellStart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Economic</w:t>
      </w:r>
      <w:proofErr w:type="spellEnd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and </w:t>
      </w:r>
      <w:proofErr w:type="spellStart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Special</w:t>
      </w:r>
      <w:proofErr w:type="spellEnd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Research</w:t>
      </w:r>
      <w:proofErr w:type="spellEnd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Institute</w:t>
      </w:r>
      <w:proofErr w:type="spellEnd"/>
      <w:r w:rsidR="00260718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)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by sa Slovensko mohlo stať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jednou z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najtvrd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šie postihnutých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kraj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ín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EÚ z 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hľadiska obchodnej výmeny</w:t>
      </w:r>
      <w:r w:rsidR="00E218D4"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 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 UK s poklesom vývozu o 59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E218D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 dovozu o 21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</w:t>
      </w:r>
      <w:r w:rsidR="001D358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okles exportu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by sa najviac prejavil v Írsku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(4,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17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), 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ďalej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na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Slov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ensku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(3,27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celkového exportu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 a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v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Belgick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(3,13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). 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Podobne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by 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utrpel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aj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dovoz z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UK do EÚ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 22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9,83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podiel na celkovom britskom</w:t>
      </w:r>
      <w:r w:rsidR="0026071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FE262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exporte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</w:p>
    <w:p w:rsidR="001439BB" w:rsidRPr="003B77C8" w:rsidRDefault="001439BB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lastRenderedPageBreak/>
        <w:t xml:space="preserve">Tvrdý brexit by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priniesol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zníženie </w:t>
      </w:r>
      <w:r w:rsidR="00A527B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konkurencieschopnosti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slovenských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výrobkov. Okrem zavedenia ciel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priamo zvyšujúcich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vývozné aj dovozné náklady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je potrebné počítať aj s ďalšími faktormi ako sú colné formality, prestoje a ďalšie časové straty, potreba novej certifikácie (napr. veterinárnej resp.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fytosanitárnej</w:t>
      </w:r>
      <w:proofErr w:type="spellEnd"/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typové schvaľovanie vozidiel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pôvod výrobku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Takisto 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britské firmy budú môcť získať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vyššiu štátnu 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pomoc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keďže už nebudú viazané legislatívou EÚ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(level </w:t>
      </w:r>
      <w:proofErr w:type="spellStart"/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playing</w:t>
      </w:r>
      <w:proofErr w:type="spellEnd"/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field</w:t>
      </w:r>
      <w:proofErr w:type="spellEnd"/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</w:p>
    <w:p w:rsidR="0070131D" w:rsidRPr="003B77C8" w:rsidRDefault="0070131D" w:rsidP="003452A9">
      <w:pPr>
        <w:keepNext/>
        <w:spacing w:after="12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Logistické aspekty obchodu</w:t>
      </w:r>
    </w:p>
    <w:p w:rsidR="00596A3C" w:rsidRPr="003B77C8" w:rsidRDefault="00BF6CC6" w:rsidP="003452A9">
      <w:pPr>
        <w:keepNext/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Tvrdý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brexit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by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znamenal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zavedenie ciel, kvót a ďalších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obchodných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obmedzení, čo môže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firmám pôsobiacim hlavne vo výrobnom sektore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priniesť</w:t>
      </w:r>
      <w:r w:rsidR="001524A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zdraženie, až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výpadky dodávok tovaru a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dovážaných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surovín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Firmy budú nútené preventívne si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zabezpečiť primerané skladové zásoby nevyhnutných prvkov výrobného cyklu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s čím sa spája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aj (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krátkodobá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potreba dodatočného kapitálu</w:t>
      </w:r>
      <w:r w:rsidR="001524A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 narušenie cash </w:t>
      </w:r>
      <w:proofErr w:type="spellStart"/>
      <w:r w:rsidR="001524A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flow</w:t>
      </w:r>
      <w:proofErr w:type="spellEnd"/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Zavedenie colných kontrol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bezprostredne po </w:t>
      </w:r>
      <w:proofErr w:type="spellStart"/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brexite</w:t>
      </w:r>
      <w:proofErr w:type="spellEnd"/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by pre spoločnosti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prepravujúce tovary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predstavovalo </w:t>
      </w:r>
      <w:r w:rsidR="00FF3C3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narušenie plynulosti prepravy, časové a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F3C3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finančné straty</w:t>
      </w:r>
      <w:r w:rsidR="003452A9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FF3C3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kým sa nastavia na nové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modality</w:t>
      </w:r>
      <w:r w:rsidR="00FF3C3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To zvlášť </w:t>
      </w:r>
      <w:r w:rsidR="00FF3C3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platí 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pri </w:t>
      </w:r>
      <w:r w:rsidR="00882D03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tovaroch s krátkou dobou spotreby</w:t>
      </w:r>
      <w:r w:rsidR="0070131D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Prechod z jednotného trhu na pravidlá WTO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značí aj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netarifné obmedzenia, ktoré skomplikujú 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tiež 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poskytovanie služieb (v bankovníctve, IT a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pod</w:t>
      </w:r>
      <w:r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596A3C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8223A" w:rsidRPr="003B77C8" w:rsidRDefault="0068223A" w:rsidP="003452A9">
      <w:pPr>
        <w:spacing w:after="12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Investície </w:t>
      </w:r>
    </w:p>
    <w:p w:rsidR="0068223A" w:rsidRPr="003B77C8" w:rsidRDefault="00B00F8F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odľa 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aktuálnych 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údajov 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NBS (31.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12.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2016)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bolo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14.</w:t>
      </w:r>
      <w:r w:rsidR="00B839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najvýznamnejším 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poskytovateľom PZI 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</w:t>
      </w:r>
      <w:r w:rsidR="003510C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investovaným 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kapitálom 531 mil. EUR. Otvorením továrne </w:t>
      </w:r>
      <w:proofErr w:type="spellStart"/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Jaguar</w:t>
      </w:r>
      <w:proofErr w:type="spellEnd"/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Land</w:t>
      </w:r>
      <w:proofErr w:type="spellEnd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Rover</w:t>
      </w:r>
      <w:proofErr w:type="spellEnd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by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sa UK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mohlo posunúť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do prvej desiatky </w:t>
      </w:r>
      <w:r w:rsidR="00596A3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(cca </w:t>
      </w:r>
      <w:r w:rsidR="0068223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7.</w:t>
      </w:r>
      <w:r w:rsidR="00596A3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)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za predpokladu, že </w:t>
      </w:r>
      <w:r w:rsidR="00C24182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1,4-1,5 mld. eurová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investícia spoločnosti JLR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vlastnenej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indickou korporáciou Tata </w:t>
      </w:r>
      <w:proofErr w:type="spellStart"/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Sons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j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 vedená ako britská.</w:t>
      </w:r>
    </w:p>
    <w:p w:rsidR="00950DE5" w:rsidRPr="003B77C8" w:rsidRDefault="00950DE5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oblasti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investícií prinesie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brexit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hrozby aj príležitosti.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Keďže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prestane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podliehať spoločným pravidlám pre investičné stimuly,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môže odlákať perspektívne investície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z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ášho regiónu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 Na druhej strane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množstvo zahraničných spoločností zvažuje resp.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plánuje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presunúť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svoje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centrály z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UK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do kontinentálnej Európy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respektíve otvoriť si 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tam 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pobočky</w:t>
      </w:r>
      <w:r w:rsidR="00BC694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vo vnútri jednotného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trhu</w:t>
      </w:r>
      <w:r w:rsidR="00E658EE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</w:p>
    <w:p w:rsidR="003766FA" w:rsidRPr="003B77C8" w:rsidRDefault="0006770A" w:rsidP="003452A9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Zamestnanosť</w:t>
      </w:r>
    </w:p>
    <w:p w:rsidR="00FF3C33" w:rsidRPr="003B77C8" w:rsidRDefault="003766FA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Vplyvom zníženého ekonomického rastu sa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tiež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očakáva pomalšia tvorba nových pracovných miest.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roku 2017 NBS odhadovala rast</w:t>
      </w:r>
      <w:r w:rsidR="000D016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HDP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SR 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 úrovni 3,3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 vznik približne 80 000 nových pracovných miest do ro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ku 2020. Odchod UK z EÚ by však podľa analytikov NBS moh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l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tieto prognózy ovplyvniť a</w:t>
      </w:r>
      <w:r w:rsidR="000D016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 tomto období 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znížiť tvorbu o 5 </w:t>
      </w:r>
      <w:r w:rsidR="00331B0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300 pracovných miest.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 UK sa vplyvom </w:t>
      </w:r>
      <w:proofErr w:type="spellStart"/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brexitu</w:t>
      </w:r>
      <w:proofErr w:type="spellEnd"/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odhaduje dlhodobé spomalenie rastu HDP s dopadom na rast 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ne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zamestnanosti. </w:t>
      </w:r>
    </w:p>
    <w:p w:rsidR="00191889" w:rsidRPr="003B77C8" w:rsidRDefault="00FF3C33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S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očakávanými zmenami v britskej migračnej politike sa 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zároveň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predpoklad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á </w:t>
      </w:r>
      <w:r w:rsidR="003766F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ávrat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časti </w:t>
      </w:r>
      <w:r w:rsidR="003766F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občanov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SR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pracujúcich v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UK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s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čím </w:t>
      </w:r>
      <w:r w:rsidR="003766F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je 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spojený možný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náhly 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nárast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nezamestnanosti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 SR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 Situácia</w:t>
      </w:r>
      <w:r w:rsidR="003766F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 druhej strane prin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esie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aj príležitosti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získať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odborn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ú pracovnú silu na pracovné miesta, ktoré v súčasnosti 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Slovensko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nedokáže obsadiť.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Úspešnosť využitia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uvedenej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príležitosti bude závisieť od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toho, či sa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zamestnávateľským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zväzo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 odborný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organizáci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ám</w:t>
      </w:r>
      <w:r w:rsidR="00332FDA" w:rsidRPr="003B77C8">
        <w:rPr>
          <w:rStyle w:val="Odkaznapoznmkupodiarou"/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footnoteReference w:id="3"/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podarí sprostredkovať dostatočne lákavú ponuku pre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Slovenky a Slovákov zvažujúcich návrat do vlasti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 vyhnúť sa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tým do veľkej miery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vynútenému 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 nepopulárnemu </w:t>
      </w:r>
      <w:r w:rsidR="00191889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hľadaniu chýbajúcich odborníkov v tretích krajinách (Balkán, India, Vietnam, Čína, stredná Ázia, Blízky východ a pod.)</w:t>
      </w:r>
    </w:p>
    <w:p w:rsidR="003766FA" w:rsidRPr="003B77C8" w:rsidRDefault="003766FA" w:rsidP="003452A9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Kohézna politika</w:t>
      </w:r>
    </w:p>
    <w:p w:rsidR="00270E35" w:rsidRPr="003B77C8" w:rsidRDefault="00E85E9A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 súvislosti s odchodom UK z EÚ sa objavuje niekoľko scenárov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z ktorých v prípade „no </w:t>
      </w:r>
      <w:proofErr w:type="spellStart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deal</w:t>
      </w:r>
      <w:proofErr w:type="spellEnd"/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“ nastane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najpesimistickejší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tzv. nulový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332FD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podľa ktorého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prestane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prispievať do rozpočtu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úplne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Ukončenie prispievania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do rozpočtu EÚ hneď po </w:t>
      </w:r>
      <w:proofErr w:type="spellStart"/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brexite</w:t>
      </w:r>
      <w:proofErr w:type="spellEnd"/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by mohlo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spôsobiť zostávajúcim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ČŠ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vyššie záväzky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 nutnosť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dohodnúť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tento rozpočtový výpadok doplni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ť resp. výrazne znížiť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výdavky.</w:t>
      </w:r>
    </w:p>
    <w:p w:rsidR="00882D03" w:rsidRPr="003B77C8" w:rsidRDefault="00882D03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Výraznejší dopad sa prejaví v programovom období 2021-2027, keď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sa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vystúpenie UK z EÚ odrazí na znížení priemerného HDP na obyvateľa v EÚ, čo môže zmeniť zaradenie regiónov z kategórie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lastRenderedPageBreak/>
        <w:t xml:space="preserve">menej rozvinutých do prechodných alebo rozvinutejších.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Práve d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ôsledkom </w:t>
      </w:r>
      <w:proofErr w:type="spellStart"/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rexit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dôjde k viacerým presunom medzi týmito skupinami. Preradenie do vyššej skupiny znamená menší podiel z rozpočtu na politiku súdržnosti pre daný región. V prípade SR by mohol nastať presun </w:t>
      </w:r>
      <w:r w:rsidR="00402C33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ápadného Slovenska spomedzi menej rozvinutých regiónov k prechodným regiónom.</w:t>
      </w:r>
    </w:p>
    <w:p w:rsidR="008D2BC5" w:rsidRPr="003B77C8" w:rsidRDefault="00DD228F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UK </w:t>
      </w:r>
      <w:r w:rsidR="0071251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je druhou najväčšou ekonomikou (po DE), pričom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vytvára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15</w:t>
      </w:r>
      <w:r w:rsidR="00BF0BB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%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HDP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EÚ28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="0071251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D8348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Jeho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ríspevky do</w:t>
      </w:r>
      <w:r w:rsidR="00882D0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rozpočtu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r.</w:t>
      </w:r>
      <w:r w:rsidR="00BF165B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2017 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predstavovali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18,6</w:t>
      </w:r>
      <w:r w:rsidR="00EC47A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mld.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GBP (</w:t>
      </w:r>
      <w:r w:rsidR="009E434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</w:t>
      </w:r>
      <w:r w:rsidR="0014251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GBP = </w:t>
      </w:r>
      <w:r w:rsidR="009D55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1,</w:t>
      </w:r>
      <w:r w:rsidR="009E434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1316</w:t>
      </w:r>
      <w:r w:rsidR="0014251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EUR</w:t>
      </w:r>
      <w:r w:rsidR="009D55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353EB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14251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prie</w:t>
      </w:r>
      <w:r w:rsidR="009D55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merný výmenný kurz </w:t>
      </w:r>
      <w:r w:rsidR="0014251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ECB v roku 2017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avšak od r. 1985 si UK uplatňuje tzv. rabat (preplatenie 66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rozdielu medzi výdavkami a príjmami)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V roku 2017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rabat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predstavoval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5,6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mld. </w:t>
      </w:r>
      <w:r w:rsidR="00AE284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GBP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výdavky vo výške 13 mld. GBP a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návratnosť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 platbách 4,1 mld. GBP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čiže UK ako čistý platca zaplatil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8,9 mld. GBP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čo z neho robí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4. najväčšieho 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prispievateľa do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spoločného 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rozpočtu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</w:p>
    <w:p w:rsidR="00DD228F" w:rsidRPr="003B77C8" w:rsidRDefault="00DD228F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 UK odíde z EÚ k 29. 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3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2019, tak sa podpisom Zmluvy o vystúpení zaviaže v splátkach postupne uhradiť sumu v rozmedzí 40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-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50 mld. EUR. Text Zmluvy obsahuje metodiku, nie absolútne číslo</w:t>
      </w:r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(z politických dôvodov)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Platí však, že žiadny ČŠ nebude platiť viac a nedostane menej kvôli </w:t>
      </w:r>
      <w:proofErr w:type="spellStart"/>
      <w:r w:rsidR="00627D5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rexitu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 UK zároveň nebude platiť 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ani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menej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ani viac ako v prípade, že by jeho členstvo riadne pokračovalo.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J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 potrebné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tiež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podotknúť, že UK počas prechodného obdobia (minimálne do konca roka 2020)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zostane súčasťou vnútorného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Európskeho jednotného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trhu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(ESM)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teda bude viazané príslušnou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legislatívou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EÚ,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ale bez možnosti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rozhodova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nia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 znamená, že ak bude UK požívať výhody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ESM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bude musieť znášať aj náklady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platiť alikvotné čiastky do rozpočtu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 UK do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budúcnosti bude chcieť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participovať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vybraných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programoch EÚ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(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napr. Horizont 2020 či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Erazmus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+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)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bude musieť aj alikvotne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prispievať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 chod týchto programov.</w:t>
      </w:r>
    </w:p>
    <w:p w:rsidR="00DD228F" w:rsidRPr="003B77C8" w:rsidRDefault="00DD228F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 by však UK odišlo bez dohody, tak EÚ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nezíska žiadnu platbu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(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t.</w:t>
      </w:r>
      <w:r w:rsidR="00D53D7D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04072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j. uvedených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40-50 mld. EUR) ani teraz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 ani do budúcnosti, teda dopad na rozpočet EÚ bude radikálny a je nutné počítať s výrazným výpadkom napr. aj v kohéznej politike, čo ovplyvní aj náš príjem z EÚ rozpočtu.  </w:t>
      </w:r>
    </w:p>
    <w:p w:rsidR="00E85E9A" w:rsidRPr="003B77C8" w:rsidRDefault="004706D0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prípade n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árast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výšky príspevkov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ČŠ 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by sa musel nanovo prepočítať pre všetkých ostávajúcich členov únie.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relatívnom vyjadrení by nárast predstavoval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 krajiny EÚ27 v priemere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6,5</w:t>
      </w:r>
      <w:r w:rsidR="004049B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%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prípade</w:t>
      </w:r>
      <w:r w:rsidR="006302F0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SR by sa príspevok 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do rozpočtu EÚ </w:t>
      </w: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zvýšil 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o</w:t>
      </w:r>
      <w:r w:rsidR="006302F0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 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55</w:t>
      </w:r>
      <w:r w:rsidR="006302F0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-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65 mil. </w:t>
      </w: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EUR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ročne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čo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predstavuje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cca</w:t>
      </w: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0,1</w:t>
      </w:r>
      <w:r w:rsidR="004049BC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 %</w:t>
      </w:r>
      <w:r w:rsidR="00E85E9A"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 xml:space="preserve"> HDP.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</w:p>
    <w:p w:rsidR="00E85E9A" w:rsidRPr="003B77C8" w:rsidRDefault="00E85E9A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 </w:t>
      </w:r>
      <w:r w:rsidR="004706D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brexit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najviac doplatia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krajiny ako Švédsko, Nemecko, Rakúsko a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 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Holandsko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 pričom n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ie </w:t>
      </w:r>
      <w:r w:rsidR="0071251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každý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ČŠ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EÚ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bude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súhlasiť so zvýšením členských príspevkov do rozpočtu. Neochota platiť viac do </w:t>
      </w:r>
      <w:r w:rsidR="006302F0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spoločného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rozpočtu by mohla v konečnom dôsledku viesť aj k zachovaniu len súčasnej úrovne príspevkov členských štátov. Výsledkom tohto procesu by mohlo byť zníženie výdavkov vrátane politík, v ktorých je SR výrazným príjemcom.</w:t>
      </w:r>
    </w:p>
    <w:p w:rsidR="00D6067F" w:rsidRPr="003B77C8" w:rsidRDefault="00D6067F" w:rsidP="003452A9">
      <w:pPr>
        <w:pStyle w:val="Odsekzoznamu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t>Ďalšie oblasti</w:t>
      </w:r>
    </w:p>
    <w:p w:rsidR="00D6067F" w:rsidRPr="003B77C8" w:rsidRDefault="0070131D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rexit 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znamená odchod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členského štátu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, ktorý presadzoval modernizáciu a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progresívne ekonomické reformy. Týmto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môže dôjsť k 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zníž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eniu inovačného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potenciál</w:t>
      </w:r>
      <w:r w:rsidR="00D6067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u celej EÚ</w:t>
      </w:r>
      <w:r w:rsidR="00950DE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. </w:t>
      </w:r>
      <w:r w:rsidR="00204AC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Odchod z EÚ bude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pre UK </w:t>
      </w:r>
      <w:r w:rsidR="00204AC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znamenať </w:t>
      </w:r>
      <w:r w:rsidR="00BF6CC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koniec prístupu vedeckých </w:t>
      </w:r>
      <w:r w:rsidR="00204AC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a</w:t>
      </w:r>
      <w:r w:rsidR="00BF6CC6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 inovačných inštitúcií k fondom, kontaktom ako aj informačným databázam </w:t>
      </w:r>
      <w:r w:rsidR="00CD7D3C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EÚ.</w:t>
      </w:r>
    </w:p>
    <w:p w:rsidR="00E81673" w:rsidRPr="003B77C8" w:rsidRDefault="00E81673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V prípade </w:t>
      </w:r>
      <w:r w:rsidRPr="00790BB6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no</w:t>
      </w:r>
      <w:r w:rsidR="00790BB6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-</w:t>
      </w:r>
      <w:proofErr w:type="spellStart"/>
      <w:r w:rsidRPr="00790BB6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>deal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scenára je možné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očakávať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aj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vplyv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na oblasť dopravy. Záujmom oboch strán je však 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naďalej 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zabezpečiť jej plynulosť.</w:t>
      </w:r>
    </w:p>
    <w:p w:rsidR="00250304" w:rsidRPr="003B77C8" w:rsidRDefault="00FF3C33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Medzi ďalšími dopadmi je o</w:t>
      </w:r>
      <w:r w:rsidR="00DD228F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hrozená možnosť v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yužívať služby londýnskych bánk</w:t>
      </w:r>
      <w:r w:rsidR="00D60A38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keďže h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ospodárstvo UK je dlhodobo a silne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pre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pojené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s 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finanč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nými trhmi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EÚ. Londýn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dlhé roky predstavoval 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finančné centrum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Európy, </w:t>
      </w:r>
      <w:r w:rsidR="002C7C9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 ktorom sídlilo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2C7C9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viacero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významných investičných bánk</w:t>
      </w:r>
      <w:r w:rsidR="002C7C9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,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ktoré odtiaľ obsluhujú</w:t>
      </w:r>
      <w:r w:rsidR="00E85E9A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celý kontinent a niekedy aj priľahlé regióny.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Aktuálne až 50 bánk </w:t>
      </w:r>
      <w:r w:rsidR="001524A3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a iných finančných inštitúcií (napr. poisťovne)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už </w:t>
      </w:r>
      <w:r w:rsidR="00250304" w:rsidRPr="003B7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presunulo alebo zvažuje presunúť činnosť </w:t>
      </w:r>
      <w:r w:rsidR="00250304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zamestnancov z Londýna do ďalších finančných centier (najmä Frankfurt a Paríž, resp. Luxemburg, Dublin a Amsterdam)</w:t>
      </w:r>
      <w:r w:rsidR="00270E35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.</w:t>
      </w:r>
    </w:p>
    <w:p w:rsidR="00270E35" w:rsidRPr="003B77C8" w:rsidRDefault="00270E35" w:rsidP="003452A9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P</w:t>
      </w:r>
      <w:r w:rsidR="002C7C9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opri tradičných oblastiach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hospodárstva sa dopady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brexitu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prejavia aj v ďalších dynamicky sa rozvíjajúcich oblastiach </w:t>
      </w:r>
      <w:r w:rsidR="002C7C91"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akými sú</w:t>
      </w:r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virtuálna voda, karbónová stopa a ETS, alebo zdaňovanie elektronického obchodu, </w:t>
      </w:r>
      <w:proofErr w:type="spellStart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>kryptomeny</w:t>
      </w:r>
      <w:proofErr w:type="spellEnd"/>
      <w:r w:rsidRPr="003B77C8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</w:rPr>
        <w:t xml:space="preserve"> a pod. </w:t>
      </w:r>
    </w:p>
    <w:p w:rsidR="00250304" w:rsidRPr="003B77C8" w:rsidRDefault="00CD7D3C" w:rsidP="0034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</w:pPr>
      <w:r w:rsidRPr="003B77C8">
        <w:rPr>
          <w:rFonts w:ascii="Times New Roman" w:hAnsi="Times New Roman" w:cs="Times New Roman"/>
          <w:b/>
          <w:color w:val="404040" w:themeColor="text1" w:themeTint="BF"/>
          <w:spacing w:val="-2"/>
          <w:sz w:val="24"/>
          <w:szCs w:val="24"/>
        </w:rPr>
        <w:lastRenderedPageBreak/>
        <w:t>ODPORÚČANIA</w:t>
      </w:r>
    </w:p>
    <w:p w:rsidR="00204AC1" w:rsidRPr="003B77C8" w:rsidRDefault="00204AC1" w:rsidP="003452A9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404040" w:themeColor="text1" w:themeTint="BF"/>
          <w:spacing w:val="1"/>
          <w:sz w:val="24"/>
          <w:szCs w:val="24"/>
        </w:rPr>
      </w:pP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Využiť</w:t>
      </w:r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„</w:t>
      </w:r>
      <w:proofErr w:type="spellStart"/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>best</w:t>
      </w:r>
      <w:proofErr w:type="spellEnd"/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>practices</w:t>
      </w:r>
      <w:proofErr w:type="spellEnd"/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“ </w:t>
      </w:r>
      <w:r w:rsidR="00596A3C"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vybraných ČŠ EÚ</w:t>
      </w:r>
      <w:r w:rsidR="00596A3C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AT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BE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IE</w:t>
      </w:r>
      <w:r w:rsidRPr="003B77C8">
        <w:rPr>
          <w:rStyle w:val="Odkaznapoznmkupodiarou"/>
          <w:rFonts w:ascii="Times New Roman" w:hAnsi="Times New Roman"/>
          <w:b/>
          <w:color w:val="404040" w:themeColor="text1" w:themeTint="BF"/>
          <w:sz w:val="24"/>
          <w:szCs w:val="24"/>
        </w:rPr>
        <w:footnoteReference w:id="4"/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="00596A3C"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NL</w:t>
      </w:r>
      <w:r w:rsidRPr="003B77C8">
        <w:rPr>
          <w:rStyle w:val="Odkaznapoznmkupodiarou"/>
          <w:rFonts w:ascii="Times New Roman" w:hAnsi="Times New Roman"/>
          <w:b/>
          <w:color w:val="404040" w:themeColor="text1" w:themeTint="BF"/>
          <w:sz w:val="24"/>
          <w:szCs w:val="24"/>
        </w:rPr>
        <w:footnoteReference w:id="5"/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, krajiny V4,) pri príprave  preventívnych</w:t>
      </w:r>
      <w:r w:rsidR="00D53D7D" w:rsidRPr="003B77C8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C7C91" w:rsidRPr="003B77C8">
        <w:rPr>
          <w:rFonts w:ascii="Times New Roman" w:hAnsi="Times New Roman"/>
          <w:color w:val="404040" w:themeColor="text1" w:themeTint="BF"/>
          <w:sz w:val="24"/>
          <w:szCs w:val="24"/>
        </w:rPr>
        <w:t>resp.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 pomocných mechanizmov po </w:t>
      </w:r>
      <w:proofErr w:type="spellStart"/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brexite</w:t>
      </w:r>
      <w:proofErr w:type="spellEnd"/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so zameraním na MSP. </w:t>
      </w:r>
    </w:p>
    <w:p w:rsidR="00204AC1" w:rsidRPr="003B77C8" w:rsidRDefault="00204AC1" w:rsidP="003452A9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404040" w:themeColor="text1" w:themeTint="BF"/>
          <w:spacing w:val="1"/>
          <w:sz w:val="24"/>
          <w:szCs w:val="24"/>
        </w:rPr>
      </w:pP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Vytvoriť 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formálny pomocný mechanizmus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v podobe ústrednej jednotky odborníkov, ktorí budú riešiť otázky a dopyty podnikateľov 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a zabezpečovať 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on-line 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>informačný systém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4049BC" w:rsidRPr="003B77C8" w:rsidRDefault="004049BC" w:rsidP="003452A9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404040" w:themeColor="text1" w:themeTint="BF"/>
          <w:spacing w:val="1"/>
          <w:sz w:val="24"/>
          <w:szCs w:val="24"/>
        </w:rPr>
      </w:pP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>Vyhodnotiť potrebu a určiť priority prípravy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nových bilaterálnych dohôd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medzi SR a UK v nadväznosti na ukončenie členstva UK v EÚ.</w:t>
      </w:r>
    </w:p>
    <w:p w:rsidR="00204AC1" w:rsidRPr="003B77C8" w:rsidRDefault="00BF6CC6" w:rsidP="003452A9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404040" w:themeColor="text1" w:themeTint="BF"/>
          <w:spacing w:val="1"/>
          <w:sz w:val="24"/>
          <w:szCs w:val="24"/>
        </w:rPr>
      </w:pP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Vytvoriť 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nové </w:t>
      </w:r>
      <w:r w:rsidR="00204AC1"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špecializované </w:t>
      </w:r>
      <w:r w:rsidRPr="003B77C8">
        <w:rPr>
          <w:rFonts w:ascii="Times New Roman" w:hAnsi="Times New Roman"/>
          <w:b/>
          <w:color w:val="404040" w:themeColor="text1" w:themeTint="BF"/>
          <w:sz w:val="24"/>
          <w:szCs w:val="24"/>
        </w:rPr>
        <w:t>diplomatické miesta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s cieľom zachovania aktuálnej 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>úrovne bilaterálnej spolupráce s</w:t>
      </w:r>
      <w:r w:rsidR="00D53D7D" w:rsidRPr="003B77C8">
        <w:rPr>
          <w:rFonts w:ascii="Times New Roman" w:hAnsi="Times New Roman"/>
          <w:color w:val="404040" w:themeColor="text1" w:themeTint="BF"/>
          <w:sz w:val="24"/>
          <w:szCs w:val="24"/>
        </w:rPr>
        <w:t> 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>UK</w:t>
      </w:r>
      <w:r w:rsidR="00D53D7D" w:rsidRPr="003B77C8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resp. rozvoja nových oblastí, a to najmä v ekonomickej oblasti 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ako aj 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v relevantných segmentoch </w:t>
      </w:r>
      <w:r w:rsidR="00BF165B" w:rsidRPr="003B77C8">
        <w:rPr>
          <w:rFonts w:ascii="Times New Roman" w:hAnsi="Times New Roman"/>
          <w:color w:val="404040" w:themeColor="text1" w:themeTint="BF"/>
          <w:sz w:val="24"/>
          <w:szCs w:val="24"/>
        </w:rPr>
        <w:t>(vzdelávanie, výskum, inovácie)</w:t>
      </w:r>
      <w:r w:rsidRPr="003B77C8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</w:p>
    <w:p w:rsidR="002E618A" w:rsidRDefault="002E618A" w:rsidP="003452A9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</w:pPr>
    </w:p>
    <w:p w:rsidR="003B77C8" w:rsidRPr="003B77C8" w:rsidRDefault="003B77C8" w:rsidP="003452A9">
      <w:pPr>
        <w:spacing w:after="120" w:line="240" w:lineRule="auto"/>
        <w:jc w:val="both"/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</w:pPr>
    </w:p>
    <w:p w:rsidR="004049BC" w:rsidRDefault="003B77C8" w:rsidP="003B77C8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>Spracoval:</w:t>
      </w:r>
      <w:r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ab/>
      </w:r>
      <w:r w:rsidR="00AC2D79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 xml:space="preserve">M. Horvat </w:t>
      </w:r>
      <w:r w:rsidR="004049BC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 xml:space="preserve">(z </w:t>
      </w:r>
      <w:r w:rsidR="00AC2D79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 xml:space="preserve">podkladov RED1, OVZI </w:t>
      </w:r>
      <w:r w:rsidR="004049BC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>a ZÚ Londýn)</w:t>
      </w:r>
    </w:p>
    <w:p w:rsidR="003B77C8" w:rsidRPr="003B77C8" w:rsidRDefault="003B77C8" w:rsidP="003B77C8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</w:pPr>
    </w:p>
    <w:p w:rsidR="003078B4" w:rsidRDefault="003B77C8" w:rsidP="003B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>Schválil:</w:t>
      </w:r>
      <w:r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ab/>
      </w:r>
      <w:r w:rsidR="00AC2D79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 xml:space="preserve">J. </w:t>
      </w:r>
      <w:proofErr w:type="spellStart"/>
      <w:r w:rsidR="00AC2D79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>Kuderjavý</w:t>
      </w:r>
      <w:proofErr w:type="spellEnd"/>
      <w:r w:rsidR="00AC2D79" w:rsidRPr="003B77C8">
        <w:rPr>
          <w:rFonts w:ascii="Times New Roman" w:hAnsi="Times New Roman"/>
          <w:color w:val="404040" w:themeColor="text1" w:themeTint="BF"/>
          <w:spacing w:val="1"/>
          <w:sz w:val="24"/>
          <w:szCs w:val="24"/>
        </w:rPr>
        <w:t>, R RED1</w:t>
      </w:r>
      <w:r w:rsidR="003078B4" w:rsidRPr="003B77C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lang w:eastAsia="sk-SK"/>
        </w:rPr>
        <w:t xml:space="preserve"> </w:t>
      </w:r>
    </w:p>
    <w:p w:rsidR="003B77C8" w:rsidRDefault="003B77C8" w:rsidP="003B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lang w:eastAsia="sk-SK"/>
        </w:rPr>
      </w:pPr>
    </w:p>
    <w:p w:rsidR="003B77C8" w:rsidRPr="003B77C8" w:rsidRDefault="003B77C8" w:rsidP="003B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Dátum: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  <w:t>16. november 2018</w:t>
      </w:r>
    </w:p>
    <w:p w:rsidR="003078B4" w:rsidRPr="003B77C8" w:rsidRDefault="003078B4" w:rsidP="003452A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lang w:eastAsia="sk-SK"/>
        </w:rPr>
      </w:pPr>
      <w:bookmarkStart w:id="0" w:name="_GoBack"/>
      <w:bookmarkEnd w:id="0"/>
    </w:p>
    <w:sectPr w:rsidR="003078B4" w:rsidRPr="003B77C8" w:rsidSect="004049BC">
      <w:footerReference w:type="default" r:id="rId7"/>
      <w:pgSz w:w="11906" w:h="16838"/>
      <w:pgMar w:top="1134" w:right="1276" w:bottom="709" w:left="1276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7C" w:rsidRDefault="00C72C7C" w:rsidP="00C24182">
      <w:pPr>
        <w:spacing w:after="0" w:line="240" w:lineRule="auto"/>
      </w:pPr>
      <w:r>
        <w:separator/>
      </w:r>
    </w:p>
  </w:endnote>
  <w:endnote w:type="continuationSeparator" w:id="0">
    <w:p w:rsidR="00C72C7C" w:rsidRDefault="00C72C7C" w:rsidP="00C2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172119"/>
      <w:docPartObj>
        <w:docPartGallery w:val="Page Numbers (Bottom of Page)"/>
        <w:docPartUnique/>
      </w:docPartObj>
    </w:sdtPr>
    <w:sdtEndPr/>
    <w:sdtContent>
      <w:p w:rsidR="009435BF" w:rsidRDefault="009435B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B6">
          <w:rPr>
            <w:noProof/>
          </w:rPr>
          <w:t>4</w:t>
        </w:r>
        <w:r>
          <w:fldChar w:fldCharType="end"/>
        </w:r>
      </w:p>
    </w:sdtContent>
  </w:sdt>
  <w:p w:rsidR="009435BF" w:rsidRDefault="00943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7C" w:rsidRDefault="00C72C7C" w:rsidP="00C24182">
      <w:pPr>
        <w:spacing w:after="0" w:line="240" w:lineRule="auto"/>
      </w:pPr>
      <w:r>
        <w:separator/>
      </w:r>
    </w:p>
  </w:footnote>
  <w:footnote w:type="continuationSeparator" w:id="0">
    <w:p w:rsidR="00C72C7C" w:rsidRDefault="00C72C7C" w:rsidP="00C24182">
      <w:pPr>
        <w:spacing w:after="0" w:line="240" w:lineRule="auto"/>
      </w:pPr>
      <w:r>
        <w:continuationSeparator/>
      </w:r>
    </w:p>
  </w:footnote>
  <w:footnote w:id="1">
    <w:p w:rsidR="004049BC" w:rsidRPr="002B0EF2" w:rsidRDefault="004049BC" w:rsidP="004049BC">
      <w:pPr>
        <w:pStyle w:val="Textpoznmkypodiarou"/>
        <w:rPr>
          <w:rFonts w:ascii="Times New Roman" w:hAnsi="Times New Roman" w:cs="Times New Roman"/>
          <w:sz w:val="16"/>
          <w:szCs w:val="16"/>
          <w:lang w:val="en-GB"/>
        </w:rPr>
      </w:pPr>
      <w:r w:rsidRPr="002B0EF2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B0EF2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2B0EF2">
          <w:rPr>
            <w:rStyle w:val="Hypertextovprepojenie"/>
            <w:rFonts w:ascii="Times New Roman" w:hAnsi="Times New Roman" w:cs="Times New Roman"/>
            <w:sz w:val="16"/>
            <w:szCs w:val="16"/>
          </w:rPr>
          <w:t>https://www.theguardian.com/business/2018/jul/19/no-deal-brexit-would-harm-all-european-countries-warns-imf</w:t>
        </w:r>
      </w:hyperlink>
      <w:r w:rsidRPr="002B0EF2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C24182" w:rsidRPr="001B441A" w:rsidRDefault="00C24182" w:rsidP="00C24182">
      <w:pPr>
        <w:pStyle w:val="Textpoznmkypodiarou"/>
        <w:rPr>
          <w:rFonts w:ascii="Times New Roman" w:hAnsi="Times New Roman" w:cs="Times New Roman"/>
          <w:sz w:val="18"/>
        </w:rPr>
      </w:pPr>
      <w:r w:rsidRPr="002B0EF2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B0EF2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2B0EF2">
          <w:rPr>
            <w:rStyle w:val="Hypertextovprepojenie"/>
            <w:rFonts w:ascii="Times New Roman" w:hAnsi="Times New Roman" w:cs="Times New Roman"/>
            <w:sz w:val="16"/>
            <w:szCs w:val="16"/>
          </w:rPr>
          <w:t>https://www.econstor.eu/bitstream/10419/174283/1/WP550.pdf</w:t>
        </w:r>
      </w:hyperlink>
    </w:p>
  </w:footnote>
  <w:footnote w:id="3">
    <w:p w:rsidR="00332FDA" w:rsidRPr="00CD7D3C" w:rsidRDefault="00332FDA" w:rsidP="00D6067F">
      <w:pPr>
        <w:pStyle w:val="Textpoznmkypodiarou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CD7D3C">
        <w:rPr>
          <w:rStyle w:val="Odkaznapoznmkupodiarou"/>
          <w:rFonts w:ascii="Times New Roman" w:hAnsi="Times New Roman" w:cs="Times New Roman"/>
          <w:spacing w:val="-2"/>
          <w:sz w:val="18"/>
          <w:szCs w:val="18"/>
        </w:rPr>
        <w:footnoteRef/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P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od záštitou </w:t>
      </w:r>
      <w:r w:rsidRPr="00CD7D3C">
        <w:rPr>
          <w:rFonts w:ascii="Times New Roman" w:hAnsi="Times New Roman" w:cs="Times New Roman"/>
          <w:i/>
          <w:spacing w:val="-2"/>
          <w:sz w:val="18"/>
          <w:szCs w:val="18"/>
        </w:rPr>
        <w:t>Digitálnej koalície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sa v januári 2019 v Londýne pripravuje pilotná akcia „</w:t>
      </w:r>
      <w:proofErr w:type="spellStart"/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Work</w:t>
      </w:r>
      <w:proofErr w:type="spellEnd"/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in Slovakia – </w:t>
      </w:r>
      <w:proofErr w:type="spellStart"/>
      <w:r w:rsidR="001524A3">
        <w:rPr>
          <w:rFonts w:ascii="Times New Roman" w:hAnsi="Times New Roman" w:cs="Times New Roman"/>
          <w:spacing w:val="-2"/>
          <w:sz w:val="18"/>
          <w:szCs w:val="18"/>
        </w:rPr>
        <w:t>Good</w:t>
      </w:r>
      <w:proofErr w:type="spellEnd"/>
      <w:r w:rsidR="001524A3">
        <w:rPr>
          <w:rFonts w:ascii="Times New Roman" w:hAnsi="Times New Roman" w:cs="Times New Roman"/>
          <w:spacing w:val="-2"/>
          <w:sz w:val="18"/>
          <w:szCs w:val="18"/>
        </w:rPr>
        <w:t xml:space="preserve"> idea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!“ zameraná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na sprostredkovanie občanom pracujúcim v UK ponuky pracovných miest v slovenských I</w:t>
      </w:r>
      <w:r w:rsidR="00DC77B0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>T firmách</w:t>
      </w:r>
      <w:r w:rsidR="00DC77B0">
        <w:rPr>
          <w:rFonts w:ascii="Times New Roman" w:hAnsi="Times New Roman" w:cs="Times New Roman"/>
          <w:spacing w:val="-2"/>
          <w:sz w:val="18"/>
          <w:szCs w:val="18"/>
        </w:rPr>
        <w:t xml:space="preserve"> a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„c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>entrá</w:t>
      </w:r>
      <w:r w:rsidR="00DC77B0">
        <w:rPr>
          <w:rFonts w:ascii="Times New Roman" w:hAnsi="Times New Roman" w:cs="Times New Roman"/>
          <w:spacing w:val="-2"/>
          <w:sz w:val="18"/>
          <w:szCs w:val="18"/>
        </w:rPr>
        <w:t>ch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zdieľaných služieb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“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Akciu realizuje</w:t>
      </w:r>
      <w:r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IT asociácia Slovenska </w:t>
      </w:r>
      <w:r w:rsidR="00D6067F" w:rsidRPr="00CD7D3C">
        <w:rPr>
          <w:rFonts w:ascii="Times New Roman" w:hAnsi="Times New Roman" w:cs="Times New Roman"/>
          <w:spacing w:val="-2"/>
          <w:sz w:val="18"/>
          <w:szCs w:val="18"/>
        </w:rPr>
        <w:t>v spolupráci s</w:t>
      </w:r>
      <w:r w:rsidR="001524A3">
        <w:rPr>
          <w:rFonts w:ascii="Times New Roman" w:hAnsi="Times New Roman" w:cs="Times New Roman"/>
          <w:spacing w:val="-2"/>
          <w:sz w:val="18"/>
          <w:szCs w:val="18"/>
        </w:rPr>
        <w:t xml:space="preserve"> MZVaEZ SAR, </w:t>
      </w:r>
      <w:r w:rsidR="00D6067F" w:rsidRPr="00CD7D3C">
        <w:rPr>
          <w:rFonts w:ascii="Times New Roman" w:hAnsi="Times New Roman" w:cs="Times New Roman"/>
          <w:spacing w:val="-2"/>
          <w:sz w:val="18"/>
          <w:szCs w:val="18"/>
        </w:rPr>
        <w:t>vybranými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6067F"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slovenskými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>zamestnávateľmi a</w:t>
      </w:r>
      <w:r w:rsidR="007C797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441A" w:rsidRPr="00CD7D3C">
        <w:rPr>
          <w:rFonts w:ascii="Times New Roman" w:hAnsi="Times New Roman" w:cs="Times New Roman"/>
          <w:spacing w:val="-2"/>
          <w:sz w:val="18"/>
          <w:szCs w:val="18"/>
        </w:rPr>
        <w:t xml:space="preserve">ZÚ SR v Londýne </w:t>
      </w:r>
    </w:p>
  </w:footnote>
  <w:footnote w:id="4">
    <w:p w:rsidR="00204AC1" w:rsidRPr="00BF6CC6" w:rsidRDefault="00204AC1">
      <w:pPr>
        <w:pStyle w:val="Textpoznmkypodiarou"/>
        <w:rPr>
          <w:rFonts w:ascii="Times New Roman" w:hAnsi="Times New Roman" w:cs="Times New Roman"/>
        </w:rPr>
      </w:pPr>
      <w:r w:rsidRPr="00BF6CC6">
        <w:rPr>
          <w:rStyle w:val="Odkaznapoznmkupodiarou"/>
          <w:rFonts w:ascii="Times New Roman" w:hAnsi="Times New Roman" w:cs="Times New Roman"/>
        </w:rPr>
        <w:footnoteRef/>
      </w:r>
      <w:r w:rsidRPr="00BF6CC6">
        <w:rPr>
          <w:rFonts w:ascii="Times New Roman" w:hAnsi="Times New Roman" w:cs="Times New Roman"/>
        </w:rPr>
        <w:t xml:space="preserve"> </w:t>
      </w:r>
      <w:hyperlink r:id="rId3" w:history="1">
        <w:r w:rsidRPr="00BF6CC6">
          <w:rPr>
            <w:rStyle w:val="Hypertextovprepojenie"/>
            <w:rFonts w:ascii="Times New Roman" w:hAnsi="Times New Roman" w:cs="Times New Roman"/>
          </w:rPr>
          <w:t>https://dbei.gov.ie/en/What-We-Do/EU-Internal-Market/Brexit/Getting-Brexit-Ready</w:t>
        </w:r>
      </w:hyperlink>
      <w:r w:rsidRPr="00BF6CC6">
        <w:rPr>
          <w:rFonts w:ascii="Times New Roman" w:hAnsi="Times New Roman" w:cs="Times New Roman"/>
        </w:rPr>
        <w:t xml:space="preserve"> </w:t>
      </w:r>
    </w:p>
  </w:footnote>
  <w:footnote w:id="5">
    <w:p w:rsidR="00204AC1" w:rsidRPr="00BF6CC6" w:rsidRDefault="00204AC1">
      <w:pPr>
        <w:pStyle w:val="Textpoznmkypodiarou"/>
        <w:rPr>
          <w:rFonts w:ascii="Times New Roman" w:hAnsi="Times New Roman" w:cs="Times New Roman"/>
        </w:rPr>
      </w:pPr>
      <w:r w:rsidRPr="00BF6CC6">
        <w:rPr>
          <w:rStyle w:val="Odkaznapoznmkupodiarou"/>
          <w:rFonts w:ascii="Times New Roman" w:hAnsi="Times New Roman" w:cs="Times New Roman"/>
        </w:rPr>
        <w:footnoteRef/>
      </w:r>
      <w:r w:rsidRPr="00BF6CC6">
        <w:rPr>
          <w:rFonts w:ascii="Times New Roman" w:hAnsi="Times New Roman" w:cs="Times New Roman"/>
        </w:rPr>
        <w:t xml:space="preserve"> </w:t>
      </w:r>
      <w:hyperlink r:id="rId4" w:history="1">
        <w:r w:rsidRPr="00BF6CC6">
          <w:rPr>
            <w:rStyle w:val="Hypertextovprepojenie"/>
            <w:rFonts w:ascii="Times New Roman" w:hAnsi="Times New Roman" w:cs="Times New Roman"/>
          </w:rPr>
          <w:t>https://www.brexitloket.nl/impactscan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ABF"/>
    <w:multiLevelType w:val="hybridMultilevel"/>
    <w:tmpl w:val="93745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5A95"/>
    <w:multiLevelType w:val="hybridMultilevel"/>
    <w:tmpl w:val="79201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51B4"/>
    <w:multiLevelType w:val="hybridMultilevel"/>
    <w:tmpl w:val="984AC5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B6E87"/>
    <w:multiLevelType w:val="hybridMultilevel"/>
    <w:tmpl w:val="14F43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A50C5"/>
    <w:multiLevelType w:val="hybridMultilevel"/>
    <w:tmpl w:val="CA083D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45A5"/>
    <w:multiLevelType w:val="hybridMultilevel"/>
    <w:tmpl w:val="4790BC20"/>
    <w:lvl w:ilvl="0" w:tplc="9CA4E8A2">
      <w:start w:val="5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A"/>
    <w:rsid w:val="00040720"/>
    <w:rsid w:val="0006770A"/>
    <w:rsid w:val="000D0160"/>
    <w:rsid w:val="0014251F"/>
    <w:rsid w:val="00143390"/>
    <w:rsid w:val="001439BB"/>
    <w:rsid w:val="001524A3"/>
    <w:rsid w:val="00191889"/>
    <w:rsid w:val="001B441A"/>
    <w:rsid w:val="001D358C"/>
    <w:rsid w:val="00204AC1"/>
    <w:rsid w:val="002415F4"/>
    <w:rsid w:val="00250304"/>
    <w:rsid w:val="00260718"/>
    <w:rsid w:val="00270E35"/>
    <w:rsid w:val="002B0EF2"/>
    <w:rsid w:val="002C7C91"/>
    <w:rsid w:val="002E618A"/>
    <w:rsid w:val="003078B4"/>
    <w:rsid w:val="00331B0B"/>
    <w:rsid w:val="00332FDA"/>
    <w:rsid w:val="003452A9"/>
    <w:rsid w:val="00350C04"/>
    <w:rsid w:val="003510C0"/>
    <w:rsid w:val="00353EB8"/>
    <w:rsid w:val="0035488C"/>
    <w:rsid w:val="003766FA"/>
    <w:rsid w:val="0037737F"/>
    <w:rsid w:val="003B77C8"/>
    <w:rsid w:val="003E1E9D"/>
    <w:rsid w:val="00402C33"/>
    <w:rsid w:val="004049BC"/>
    <w:rsid w:val="004706D0"/>
    <w:rsid w:val="00472D63"/>
    <w:rsid w:val="004B0BD0"/>
    <w:rsid w:val="004B4CBF"/>
    <w:rsid w:val="004F69D9"/>
    <w:rsid w:val="00532271"/>
    <w:rsid w:val="005753F7"/>
    <w:rsid w:val="00596A3C"/>
    <w:rsid w:val="005F48EB"/>
    <w:rsid w:val="0062448E"/>
    <w:rsid w:val="00627D5A"/>
    <w:rsid w:val="006302F0"/>
    <w:rsid w:val="00664F64"/>
    <w:rsid w:val="0068223A"/>
    <w:rsid w:val="006D125F"/>
    <w:rsid w:val="0070131D"/>
    <w:rsid w:val="00712516"/>
    <w:rsid w:val="00790BB6"/>
    <w:rsid w:val="007A58A6"/>
    <w:rsid w:val="007B239C"/>
    <w:rsid w:val="007C7974"/>
    <w:rsid w:val="007F7E84"/>
    <w:rsid w:val="00830800"/>
    <w:rsid w:val="00852341"/>
    <w:rsid w:val="00882D03"/>
    <w:rsid w:val="008A1C80"/>
    <w:rsid w:val="008D2BC5"/>
    <w:rsid w:val="008D7983"/>
    <w:rsid w:val="009435BF"/>
    <w:rsid w:val="00944883"/>
    <w:rsid w:val="00950DE5"/>
    <w:rsid w:val="00967CE4"/>
    <w:rsid w:val="00974446"/>
    <w:rsid w:val="009B64B0"/>
    <w:rsid w:val="009C6A15"/>
    <w:rsid w:val="009D2E78"/>
    <w:rsid w:val="009D559A"/>
    <w:rsid w:val="009E434C"/>
    <w:rsid w:val="00A527BF"/>
    <w:rsid w:val="00A6729E"/>
    <w:rsid w:val="00AB172F"/>
    <w:rsid w:val="00AC2D79"/>
    <w:rsid w:val="00AE2840"/>
    <w:rsid w:val="00B00F8F"/>
    <w:rsid w:val="00B8395A"/>
    <w:rsid w:val="00B84250"/>
    <w:rsid w:val="00BC6941"/>
    <w:rsid w:val="00BF0BBD"/>
    <w:rsid w:val="00BF165B"/>
    <w:rsid w:val="00BF6CC6"/>
    <w:rsid w:val="00C24182"/>
    <w:rsid w:val="00C522AD"/>
    <w:rsid w:val="00C72C7C"/>
    <w:rsid w:val="00CD72E9"/>
    <w:rsid w:val="00CD7D3C"/>
    <w:rsid w:val="00D17490"/>
    <w:rsid w:val="00D53D7D"/>
    <w:rsid w:val="00D6067F"/>
    <w:rsid w:val="00D60A38"/>
    <w:rsid w:val="00D8348A"/>
    <w:rsid w:val="00DC77B0"/>
    <w:rsid w:val="00DD228F"/>
    <w:rsid w:val="00DD7B69"/>
    <w:rsid w:val="00E218D4"/>
    <w:rsid w:val="00E53457"/>
    <w:rsid w:val="00E53925"/>
    <w:rsid w:val="00E658EE"/>
    <w:rsid w:val="00E81673"/>
    <w:rsid w:val="00E85E9A"/>
    <w:rsid w:val="00EC47A6"/>
    <w:rsid w:val="00EF12E9"/>
    <w:rsid w:val="00EF640D"/>
    <w:rsid w:val="00EF6ECF"/>
    <w:rsid w:val="00F906C8"/>
    <w:rsid w:val="00FB01C7"/>
    <w:rsid w:val="00FE2628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F80F4"/>
  <w15:chartTrackingRefBased/>
  <w15:docId w15:val="{ACE0FFDC-5CE0-4A58-860D-0B75749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List Paragraph Char Char Char,Indicator Text,Numbered Para 1,List Paragraph à moi,Odsek zoznamu4,LISTA,Listaszerű bekezdés2,Listaszerű bekezdés3,Listaszerű bekezdés1,Bullet 1,Bullet Points,MAIN CONTENT,3,List Paragrap,L,OBC Bull,bo"/>
    <w:basedOn w:val="Normlny"/>
    <w:link w:val="OdsekzoznamuChar"/>
    <w:uiPriority w:val="34"/>
    <w:qFormat/>
    <w:rsid w:val="00E85E9A"/>
    <w:pPr>
      <w:ind w:left="720"/>
      <w:contextualSpacing/>
    </w:pPr>
  </w:style>
  <w:style w:type="character" w:styleId="Hypertextovprepojenie">
    <w:name w:val="Hyperlink"/>
    <w:uiPriority w:val="99"/>
    <w:unhideWhenUsed/>
    <w:rsid w:val="00E85E9A"/>
    <w:rPr>
      <w:color w:val="0000FF"/>
      <w:u w:val="singl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LISTA Char,Listaszerű bekezdés2 Char,Listaszerű bekezdés3 Char,Listaszerű bekezdés1 Char,3 Char"/>
    <w:basedOn w:val="Predvolenpsmoodseku"/>
    <w:link w:val="Odsekzoznamu"/>
    <w:uiPriority w:val="34"/>
    <w:qFormat/>
    <w:locked/>
    <w:rsid w:val="00E85E9A"/>
  </w:style>
  <w:style w:type="paragraph" w:styleId="Normlnywebov">
    <w:name w:val="Normal (Web)"/>
    <w:basedOn w:val="Normlny"/>
    <w:uiPriority w:val="99"/>
    <w:semiHidden/>
    <w:unhideWhenUsed/>
    <w:rsid w:val="0035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41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418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4182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0DE5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0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9BC"/>
  </w:style>
  <w:style w:type="paragraph" w:styleId="Pta">
    <w:name w:val="footer"/>
    <w:basedOn w:val="Normlny"/>
    <w:link w:val="PtaChar"/>
    <w:uiPriority w:val="99"/>
    <w:unhideWhenUsed/>
    <w:rsid w:val="0040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9BC"/>
  </w:style>
  <w:style w:type="paragraph" w:styleId="Textbubliny">
    <w:name w:val="Balloon Text"/>
    <w:basedOn w:val="Normlny"/>
    <w:link w:val="TextbublinyChar"/>
    <w:uiPriority w:val="99"/>
    <w:semiHidden/>
    <w:unhideWhenUsed/>
    <w:rsid w:val="0035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bei.gov.ie/en/What-We-Do/EU-Internal-Market/Brexit/Getting-Brexit-Ready" TargetMode="External"/><Relationship Id="rId2" Type="http://schemas.openxmlformats.org/officeDocument/2006/relationships/hyperlink" Target="https://www.econstor.eu/bitstream/10419/174283/1/WP550.pdf" TargetMode="External"/><Relationship Id="rId1" Type="http://schemas.openxmlformats.org/officeDocument/2006/relationships/hyperlink" Target="https://www.theguardian.com/business/2018/jul/19/no-deal-brexit-would-harm-all-european-countries-warns-imf" TargetMode="External"/><Relationship Id="rId4" Type="http://schemas.openxmlformats.org/officeDocument/2006/relationships/hyperlink" Target="https://www.brexitloket.nl/impactsca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 Michal /RED1/MZV</dc:creator>
  <cp:keywords/>
  <dc:description/>
  <cp:lastModifiedBy>Petian Peter/ZU Washington/MZV</cp:lastModifiedBy>
  <cp:revision>22</cp:revision>
  <cp:lastPrinted>2018-11-16T15:55:00Z</cp:lastPrinted>
  <dcterms:created xsi:type="dcterms:W3CDTF">2018-11-16T13:41:00Z</dcterms:created>
  <dcterms:modified xsi:type="dcterms:W3CDTF">2018-11-16T15:58:00Z</dcterms:modified>
</cp:coreProperties>
</file>