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2B0" w:rsidRDefault="001552B0" w:rsidP="001552B0">
      <w:pPr>
        <w:pStyle w:val="Nadpis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ŠTATISTICKÝ ÚRAD</w:t>
      </w:r>
    </w:p>
    <w:p w:rsidR="001552B0" w:rsidRDefault="001552B0" w:rsidP="001552B0">
      <w:pPr>
        <w:pStyle w:val="Nadpis1"/>
        <w:rPr>
          <w:rFonts w:ascii="Arial" w:hAnsi="Arial" w:cs="Arial"/>
          <w:b w:val="0"/>
          <w:bCs/>
          <w:sz w:val="24"/>
        </w:rPr>
      </w:pPr>
      <w:r>
        <w:rPr>
          <w:rFonts w:ascii="Arial" w:hAnsi="Arial" w:cs="Arial"/>
          <w:sz w:val="24"/>
        </w:rPr>
        <w:t xml:space="preserve">SLOVENSKEJ REPUBLIKY </w:t>
      </w:r>
    </w:p>
    <w:p w:rsidR="00BE030C" w:rsidRDefault="00BE030C">
      <w:pPr>
        <w:tabs>
          <w:tab w:val="left" w:pos="993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 </w:t>
      </w:r>
    </w:p>
    <w:p w:rsidR="00BE030C" w:rsidRDefault="00BE030C">
      <w:pPr>
        <w:tabs>
          <w:tab w:val="left" w:pos="993"/>
        </w:tabs>
        <w:rPr>
          <w:rFonts w:ascii="Arial" w:hAnsi="Arial" w:cs="Arial"/>
          <w:b/>
        </w:rPr>
      </w:pPr>
    </w:p>
    <w:p w:rsidR="00BE030C" w:rsidRDefault="00BE030C">
      <w:pPr>
        <w:pStyle w:val="Nadpis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Podrobné údaje zahraničného obchodu </w:t>
      </w:r>
      <w:r w:rsidR="001844CC">
        <w:rPr>
          <w:rFonts w:ascii="Arial" w:hAnsi="Arial" w:cs="Arial"/>
          <w:sz w:val="24"/>
        </w:rPr>
        <w:t>v</w:t>
      </w:r>
      <w:r>
        <w:rPr>
          <w:rFonts w:ascii="Arial" w:hAnsi="Arial" w:cs="Arial"/>
          <w:sz w:val="24"/>
        </w:rPr>
        <w:t> august</w:t>
      </w:r>
      <w:r w:rsidR="001844CC">
        <w:rPr>
          <w:rFonts w:ascii="Arial" w:hAnsi="Arial" w:cs="Arial"/>
          <w:sz w:val="24"/>
        </w:rPr>
        <w:t>e</w:t>
      </w:r>
      <w:r>
        <w:rPr>
          <w:rFonts w:ascii="Arial" w:hAnsi="Arial" w:cs="Arial"/>
          <w:sz w:val="24"/>
        </w:rPr>
        <w:t xml:space="preserve"> a za osem mesiacov rok</w:t>
      </w:r>
      <w:r w:rsidR="006F54A5">
        <w:rPr>
          <w:rFonts w:ascii="Arial" w:hAnsi="Arial" w:cs="Arial"/>
          <w:sz w:val="24"/>
        </w:rPr>
        <w:t>u</w:t>
      </w:r>
      <w:r>
        <w:rPr>
          <w:rFonts w:ascii="Arial" w:hAnsi="Arial" w:cs="Arial"/>
          <w:sz w:val="24"/>
        </w:rPr>
        <w:t xml:space="preserve"> </w:t>
      </w:r>
      <w:r w:rsidR="001552B0">
        <w:rPr>
          <w:rFonts w:ascii="Arial" w:hAnsi="Arial" w:cs="Arial"/>
          <w:sz w:val="24"/>
        </w:rPr>
        <w:t>2018</w:t>
      </w:r>
      <w:r w:rsidR="001E32DB">
        <w:rPr>
          <w:rFonts w:ascii="Arial" w:hAnsi="Arial" w:cs="Arial"/>
          <w:sz w:val="24"/>
        </w:rPr>
        <w:t xml:space="preserve"> </w:t>
      </w:r>
      <w:r w:rsidR="001E32DB">
        <w:rPr>
          <w:rStyle w:val="Odkaznapoznmkupodiarou"/>
          <w:rFonts w:ascii="Arial" w:hAnsi="Arial" w:cs="Arial"/>
          <w:b w:val="0"/>
          <w:bCs/>
          <w:sz w:val="24"/>
        </w:rPr>
        <w:footnoteReference w:customMarkFollows="1" w:id="1"/>
        <w:t>1)</w:t>
      </w:r>
    </w:p>
    <w:p w:rsidR="00BE030C" w:rsidRPr="0035529C" w:rsidRDefault="00BE030C">
      <w:pPr>
        <w:pStyle w:val="BodyText21"/>
        <w:rPr>
          <w:rFonts w:ascii="Arial" w:hAnsi="Arial" w:cs="Arial"/>
          <w:sz w:val="22"/>
        </w:rPr>
      </w:pPr>
    </w:p>
    <w:p w:rsidR="00BE030C" w:rsidRPr="0035529C" w:rsidRDefault="001844CC" w:rsidP="000E5D6B">
      <w:pPr>
        <w:ind w:firstLine="284"/>
        <w:jc w:val="both"/>
        <w:rPr>
          <w:rFonts w:ascii="Arial" w:hAnsi="Arial" w:cs="Arial"/>
          <w:bCs/>
          <w:sz w:val="22"/>
          <w:lang w:val="sk-SK"/>
        </w:rPr>
      </w:pPr>
      <w:r>
        <w:rPr>
          <w:rFonts w:ascii="Arial" w:hAnsi="Arial" w:cs="Arial"/>
          <w:bCs/>
          <w:i/>
          <w:sz w:val="22"/>
          <w:lang w:val="sk-SK"/>
        </w:rPr>
        <w:t>V</w:t>
      </w:r>
      <w:r w:rsidR="00BE030C" w:rsidRPr="0035529C">
        <w:rPr>
          <w:rFonts w:ascii="Arial" w:hAnsi="Arial" w:cs="Arial"/>
          <w:bCs/>
          <w:i/>
          <w:sz w:val="22"/>
          <w:lang w:val="sk-SK"/>
        </w:rPr>
        <w:t xml:space="preserve"> </w:t>
      </w:r>
      <w:r w:rsidR="002447A4" w:rsidRPr="0035529C">
        <w:rPr>
          <w:rFonts w:ascii="Arial" w:hAnsi="Arial" w:cs="Arial"/>
          <w:bCs/>
          <w:i/>
          <w:sz w:val="22"/>
          <w:lang w:val="sk-SK"/>
        </w:rPr>
        <w:t>august</w:t>
      </w:r>
      <w:r>
        <w:rPr>
          <w:rFonts w:ascii="Arial" w:hAnsi="Arial" w:cs="Arial"/>
          <w:bCs/>
          <w:i/>
          <w:sz w:val="22"/>
          <w:lang w:val="sk-SK"/>
        </w:rPr>
        <w:t>e</w:t>
      </w:r>
      <w:r w:rsidR="00BE030C" w:rsidRPr="0035529C">
        <w:rPr>
          <w:rFonts w:ascii="Arial" w:hAnsi="Arial" w:cs="Arial"/>
          <w:bCs/>
          <w:sz w:val="22"/>
          <w:lang w:val="sk-SK"/>
        </w:rPr>
        <w:t xml:space="preserve"> sa v porovnaní s rovnakým obdobím minulého rok</w:t>
      </w:r>
      <w:r w:rsidR="006F54A5" w:rsidRPr="0035529C">
        <w:rPr>
          <w:rFonts w:ascii="Arial" w:hAnsi="Arial" w:cs="Arial"/>
          <w:bCs/>
          <w:sz w:val="22"/>
          <w:lang w:val="sk-SK"/>
        </w:rPr>
        <w:t>u</w:t>
      </w:r>
      <w:r w:rsidR="00BE030C" w:rsidRPr="0035529C">
        <w:rPr>
          <w:rFonts w:ascii="Arial" w:hAnsi="Arial" w:cs="Arial"/>
          <w:bCs/>
          <w:sz w:val="22"/>
          <w:lang w:val="sk-SK"/>
        </w:rPr>
        <w:t xml:space="preserve"> </w:t>
      </w:r>
      <w:r w:rsidR="00893DD2" w:rsidRPr="0035529C">
        <w:rPr>
          <w:rFonts w:ascii="Arial" w:hAnsi="Arial" w:cs="Arial"/>
          <w:bCs/>
          <w:sz w:val="22"/>
          <w:lang w:val="sk-SK"/>
        </w:rPr>
        <w:t>z</w:t>
      </w:r>
      <w:r w:rsidR="0035529C" w:rsidRPr="0035529C">
        <w:rPr>
          <w:rFonts w:ascii="Arial" w:hAnsi="Arial" w:cs="Arial"/>
          <w:bCs/>
          <w:sz w:val="22"/>
          <w:lang w:val="sk-SK"/>
        </w:rPr>
        <w:t>výš</w:t>
      </w:r>
      <w:r w:rsidR="00893DD2" w:rsidRPr="0035529C">
        <w:rPr>
          <w:rFonts w:ascii="Arial" w:hAnsi="Arial" w:cs="Arial"/>
          <w:bCs/>
          <w:sz w:val="22"/>
          <w:lang w:val="sk-SK"/>
        </w:rPr>
        <w:t>il</w:t>
      </w:r>
      <w:r w:rsidR="00BE030C" w:rsidRPr="0035529C">
        <w:rPr>
          <w:rFonts w:ascii="Arial" w:hAnsi="Arial" w:cs="Arial"/>
          <w:bCs/>
          <w:sz w:val="22"/>
          <w:lang w:val="sk-SK"/>
        </w:rPr>
        <w:t xml:space="preserve"> celkový vývoz tovaru o</w:t>
      </w:r>
      <w:r w:rsidR="00611D65">
        <w:rPr>
          <w:rFonts w:ascii="Arial" w:hAnsi="Arial" w:cs="Arial"/>
          <w:bCs/>
          <w:sz w:val="22"/>
          <w:lang w:val="sk-SK"/>
        </w:rPr>
        <w:t> 4,9</w:t>
      </w:r>
      <w:r w:rsidR="00BE030C" w:rsidRPr="0035529C">
        <w:rPr>
          <w:rFonts w:ascii="Arial" w:hAnsi="Arial" w:cs="Arial"/>
          <w:bCs/>
          <w:sz w:val="22"/>
          <w:lang w:val="sk-SK"/>
        </w:rPr>
        <w:t> % na </w:t>
      </w:r>
      <w:r w:rsidR="00611D65">
        <w:rPr>
          <w:rFonts w:ascii="Arial" w:hAnsi="Arial" w:cs="Arial"/>
          <w:bCs/>
          <w:sz w:val="22"/>
          <w:lang w:val="sk-SK"/>
        </w:rPr>
        <w:t>6 193,7</w:t>
      </w:r>
      <w:r w:rsidR="00BE030C" w:rsidRPr="0035529C">
        <w:rPr>
          <w:rFonts w:ascii="Arial" w:hAnsi="Arial" w:cs="Arial"/>
          <w:bCs/>
          <w:sz w:val="22"/>
          <w:lang w:val="sk-SK"/>
        </w:rPr>
        <w:t> mil. </w:t>
      </w:r>
      <w:r>
        <w:rPr>
          <w:rFonts w:ascii="Arial" w:hAnsi="Arial" w:cs="Arial"/>
          <w:bCs/>
          <w:noProof/>
          <w:sz w:val="22"/>
          <w:lang w:val="sk-SK"/>
        </w:rPr>
        <w:t>eur</w:t>
      </w:r>
      <w:r w:rsidR="00BE030C" w:rsidRPr="0035529C">
        <w:rPr>
          <w:rFonts w:ascii="Arial" w:hAnsi="Arial" w:cs="Arial"/>
          <w:bCs/>
          <w:sz w:val="22"/>
          <w:lang w:val="sk-SK"/>
        </w:rPr>
        <w:t xml:space="preserve"> a celkový dovoz o</w:t>
      </w:r>
      <w:r w:rsidR="00611D65">
        <w:rPr>
          <w:rFonts w:ascii="Arial" w:hAnsi="Arial" w:cs="Arial"/>
          <w:bCs/>
          <w:sz w:val="22"/>
          <w:lang w:val="sk-SK"/>
        </w:rPr>
        <w:t> 5,1</w:t>
      </w:r>
      <w:r w:rsidR="00BE030C" w:rsidRPr="0035529C">
        <w:rPr>
          <w:rFonts w:ascii="Arial" w:hAnsi="Arial" w:cs="Arial"/>
          <w:bCs/>
          <w:sz w:val="22"/>
          <w:lang w:val="sk-SK"/>
        </w:rPr>
        <w:t xml:space="preserve"> % na </w:t>
      </w:r>
      <w:r w:rsidR="00611D65">
        <w:rPr>
          <w:rFonts w:ascii="Arial" w:hAnsi="Arial" w:cs="Arial"/>
          <w:bCs/>
          <w:sz w:val="22"/>
          <w:lang w:val="sk-SK"/>
        </w:rPr>
        <w:t>6 319,3</w:t>
      </w:r>
      <w:r w:rsidR="00BE030C" w:rsidRPr="0035529C">
        <w:rPr>
          <w:rFonts w:ascii="Arial" w:hAnsi="Arial" w:cs="Arial"/>
          <w:bCs/>
          <w:sz w:val="22"/>
          <w:lang w:val="sk-SK"/>
        </w:rPr>
        <w:t> mil. </w:t>
      </w:r>
      <w:r>
        <w:rPr>
          <w:rFonts w:ascii="Arial" w:hAnsi="Arial" w:cs="Arial"/>
          <w:bCs/>
          <w:sz w:val="22"/>
          <w:lang w:val="sk-SK"/>
        </w:rPr>
        <w:t>eur</w:t>
      </w:r>
      <w:r w:rsidR="00BE030C" w:rsidRPr="0035529C">
        <w:rPr>
          <w:rFonts w:ascii="Arial" w:hAnsi="Arial" w:cs="Arial"/>
          <w:bCs/>
          <w:sz w:val="22"/>
          <w:lang w:val="sk-SK"/>
        </w:rPr>
        <w:t>.</w:t>
      </w:r>
    </w:p>
    <w:p w:rsidR="00BE030C" w:rsidRPr="0035529C" w:rsidRDefault="00BE030C" w:rsidP="000E5D6B">
      <w:pPr>
        <w:tabs>
          <w:tab w:val="left" w:pos="5760"/>
        </w:tabs>
        <w:ind w:firstLine="284"/>
        <w:jc w:val="both"/>
        <w:rPr>
          <w:rFonts w:ascii="Arial" w:hAnsi="Arial" w:cs="Arial"/>
          <w:bCs/>
          <w:sz w:val="22"/>
          <w:lang w:val="sk-SK"/>
        </w:rPr>
      </w:pPr>
      <w:r w:rsidRPr="0035529C">
        <w:rPr>
          <w:rFonts w:ascii="Arial" w:hAnsi="Arial" w:cs="Arial"/>
          <w:bCs/>
          <w:sz w:val="22"/>
          <w:lang w:val="sk-SK"/>
        </w:rPr>
        <w:t xml:space="preserve">Saldo zahraničného obchodu bolo </w:t>
      </w:r>
      <w:r w:rsidR="00611D65">
        <w:rPr>
          <w:rFonts w:ascii="Arial" w:hAnsi="Arial" w:cs="Arial"/>
          <w:bCs/>
          <w:sz w:val="22"/>
          <w:lang w:val="sk-SK"/>
        </w:rPr>
        <w:t>pasí</w:t>
      </w:r>
      <w:r w:rsidR="00893DD2" w:rsidRPr="0035529C">
        <w:rPr>
          <w:rFonts w:ascii="Arial" w:hAnsi="Arial" w:cs="Arial"/>
          <w:bCs/>
          <w:sz w:val="22"/>
          <w:lang w:val="sk-SK"/>
        </w:rPr>
        <w:t>vne</w:t>
      </w:r>
      <w:r w:rsidRPr="0035529C">
        <w:rPr>
          <w:rFonts w:ascii="Arial" w:hAnsi="Arial" w:cs="Arial"/>
          <w:bCs/>
          <w:sz w:val="22"/>
          <w:lang w:val="sk-SK"/>
        </w:rPr>
        <w:t xml:space="preserve"> v objeme </w:t>
      </w:r>
      <w:r w:rsidR="00611D65">
        <w:rPr>
          <w:rFonts w:ascii="Arial" w:hAnsi="Arial" w:cs="Arial"/>
          <w:bCs/>
          <w:sz w:val="22"/>
          <w:lang w:val="sk-SK"/>
        </w:rPr>
        <w:t>125,5</w:t>
      </w:r>
      <w:r w:rsidRPr="0035529C">
        <w:rPr>
          <w:rFonts w:ascii="Arial" w:hAnsi="Arial" w:cs="Arial"/>
          <w:bCs/>
          <w:sz w:val="22"/>
          <w:lang w:val="sk-SK"/>
        </w:rPr>
        <w:t> mil. </w:t>
      </w:r>
      <w:r w:rsidR="001844CC">
        <w:rPr>
          <w:rFonts w:ascii="Arial" w:hAnsi="Arial" w:cs="Arial"/>
          <w:bCs/>
          <w:sz w:val="22"/>
          <w:lang w:val="sk-SK"/>
        </w:rPr>
        <w:t>eur</w:t>
      </w:r>
      <w:r w:rsidRPr="0035529C">
        <w:rPr>
          <w:rFonts w:ascii="Arial" w:hAnsi="Arial" w:cs="Arial"/>
          <w:bCs/>
          <w:sz w:val="22"/>
          <w:lang w:val="sk-SK"/>
        </w:rPr>
        <w:t>.</w:t>
      </w:r>
    </w:p>
    <w:p w:rsidR="00BE030C" w:rsidRPr="0035529C" w:rsidRDefault="00BE030C" w:rsidP="000E5D6B">
      <w:pPr>
        <w:pStyle w:val="BodyText21"/>
        <w:ind w:firstLine="284"/>
        <w:rPr>
          <w:rFonts w:ascii="Arial" w:hAnsi="Arial" w:cs="Arial"/>
          <w:b/>
          <w:sz w:val="22"/>
        </w:rPr>
      </w:pPr>
    </w:p>
    <w:p w:rsidR="00BE030C" w:rsidRPr="00347104" w:rsidRDefault="00BE030C" w:rsidP="000E5D6B">
      <w:pPr>
        <w:pStyle w:val="BodyText21"/>
        <w:ind w:firstLine="284"/>
        <w:rPr>
          <w:rFonts w:ascii="Arial" w:hAnsi="Arial" w:cs="Arial"/>
          <w:sz w:val="22"/>
        </w:rPr>
      </w:pPr>
      <w:r w:rsidRPr="0035529C">
        <w:rPr>
          <w:rFonts w:ascii="Arial" w:hAnsi="Arial" w:cs="Arial"/>
          <w:b/>
          <w:sz w:val="22"/>
        </w:rPr>
        <w:t xml:space="preserve">Saldo </w:t>
      </w:r>
      <w:r w:rsidRPr="0035529C">
        <w:rPr>
          <w:rFonts w:ascii="Arial" w:hAnsi="Arial" w:cs="Arial"/>
          <w:sz w:val="22"/>
        </w:rPr>
        <w:t xml:space="preserve">zahraničného obchodu za </w:t>
      </w:r>
      <w:r w:rsidRPr="0035529C">
        <w:rPr>
          <w:rFonts w:ascii="Arial" w:hAnsi="Arial" w:cs="Arial"/>
          <w:i/>
          <w:sz w:val="22"/>
        </w:rPr>
        <w:t xml:space="preserve">január až august </w:t>
      </w:r>
      <w:r w:rsidR="001552B0">
        <w:rPr>
          <w:rFonts w:ascii="Arial" w:hAnsi="Arial" w:cs="Arial"/>
          <w:i/>
          <w:sz w:val="22"/>
        </w:rPr>
        <w:t>2018</w:t>
      </w:r>
      <w:r w:rsidRPr="0035529C">
        <w:rPr>
          <w:rFonts w:ascii="Arial" w:hAnsi="Arial" w:cs="Arial"/>
          <w:b/>
          <w:sz w:val="22"/>
        </w:rPr>
        <w:t xml:space="preserve"> </w:t>
      </w:r>
      <w:r w:rsidRPr="0035529C">
        <w:rPr>
          <w:rFonts w:ascii="Arial" w:hAnsi="Arial" w:cs="Arial"/>
          <w:sz w:val="22"/>
        </w:rPr>
        <w:t xml:space="preserve">bolo </w:t>
      </w:r>
      <w:r w:rsidR="002447A4" w:rsidRPr="0035529C">
        <w:rPr>
          <w:rFonts w:ascii="Arial" w:hAnsi="Arial" w:cs="Arial"/>
          <w:sz w:val="22"/>
        </w:rPr>
        <w:t>aktívne</w:t>
      </w:r>
      <w:r w:rsidRPr="0035529C">
        <w:rPr>
          <w:rFonts w:ascii="Arial" w:hAnsi="Arial" w:cs="Arial"/>
          <w:sz w:val="22"/>
        </w:rPr>
        <w:t xml:space="preserve"> v objeme </w:t>
      </w:r>
      <w:r w:rsidR="005A1B66">
        <w:rPr>
          <w:rFonts w:ascii="Arial" w:hAnsi="Arial" w:cs="Arial"/>
          <w:sz w:val="22"/>
        </w:rPr>
        <w:t>1 732,1</w:t>
      </w:r>
      <w:r w:rsidRPr="00347104">
        <w:rPr>
          <w:rFonts w:ascii="Arial" w:hAnsi="Arial" w:cs="Arial"/>
          <w:sz w:val="22"/>
        </w:rPr>
        <w:t> mil. </w:t>
      </w:r>
      <w:r w:rsidR="001844CC">
        <w:rPr>
          <w:rFonts w:ascii="Arial" w:hAnsi="Arial" w:cs="Arial"/>
          <w:sz w:val="22"/>
        </w:rPr>
        <w:t>eur</w:t>
      </w:r>
      <w:r w:rsidR="005A1B66">
        <w:rPr>
          <w:rFonts w:ascii="Arial" w:hAnsi="Arial" w:cs="Arial"/>
          <w:sz w:val="22"/>
        </w:rPr>
        <w:t xml:space="preserve"> (o 91,4 mil. eur vyššie ako za rovnaké obdobie minulého roku)</w:t>
      </w:r>
      <w:r w:rsidRPr="00347104">
        <w:rPr>
          <w:rFonts w:ascii="Arial" w:hAnsi="Arial" w:cs="Arial"/>
          <w:sz w:val="22"/>
        </w:rPr>
        <w:t>.</w:t>
      </w:r>
    </w:p>
    <w:p w:rsidR="00102075" w:rsidRDefault="00102075" w:rsidP="00102075">
      <w:pPr>
        <w:pStyle w:val="BodyText21"/>
        <w:tabs>
          <w:tab w:val="left" w:pos="9781"/>
        </w:tabs>
        <w:ind w:firstLine="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Najvyššie aktívne saldo mala Slovenská republika s Nemeckom (2</w:t>
      </w:r>
      <w:r w:rsidR="001F30E1">
        <w:rPr>
          <w:rFonts w:ascii="Arial" w:hAnsi="Arial" w:cs="Arial"/>
          <w:sz w:val="22"/>
        </w:rPr>
        <w:t> 951,7</w:t>
      </w:r>
      <w:r>
        <w:rPr>
          <w:rFonts w:ascii="Arial" w:hAnsi="Arial" w:cs="Arial"/>
          <w:sz w:val="22"/>
        </w:rPr>
        <w:t> mil. eur), Francúzskom (1</w:t>
      </w:r>
      <w:r w:rsidR="001F30E1">
        <w:rPr>
          <w:rFonts w:ascii="Arial" w:hAnsi="Arial" w:cs="Arial"/>
          <w:sz w:val="22"/>
        </w:rPr>
        <w:t> 760,6</w:t>
      </w:r>
      <w:r>
        <w:rPr>
          <w:rFonts w:ascii="Arial" w:hAnsi="Arial" w:cs="Arial"/>
          <w:sz w:val="22"/>
        </w:rPr>
        <w:t> mil. eur), Spojeným kráľovstvom (1</w:t>
      </w:r>
      <w:r w:rsidR="001F30E1">
        <w:rPr>
          <w:rFonts w:ascii="Arial" w:hAnsi="Arial" w:cs="Arial"/>
          <w:sz w:val="22"/>
        </w:rPr>
        <w:t> 671,4</w:t>
      </w:r>
      <w:r>
        <w:rPr>
          <w:rFonts w:ascii="Arial" w:hAnsi="Arial" w:cs="Arial"/>
          <w:sz w:val="22"/>
        </w:rPr>
        <w:t> mil. eur), Talianskom (1</w:t>
      </w:r>
      <w:r w:rsidR="001F30E1">
        <w:rPr>
          <w:rFonts w:ascii="Arial" w:hAnsi="Arial" w:cs="Arial"/>
          <w:sz w:val="22"/>
        </w:rPr>
        <w:t> 512,5</w:t>
      </w:r>
      <w:r>
        <w:rPr>
          <w:rFonts w:ascii="Arial" w:hAnsi="Arial" w:cs="Arial"/>
          <w:sz w:val="22"/>
        </w:rPr>
        <w:t> mil. eur), Rakúskom (1</w:t>
      </w:r>
      <w:r w:rsidR="001F30E1">
        <w:rPr>
          <w:rFonts w:ascii="Arial" w:hAnsi="Arial" w:cs="Arial"/>
          <w:sz w:val="22"/>
        </w:rPr>
        <w:t> 455,4</w:t>
      </w:r>
      <w:r>
        <w:rPr>
          <w:rFonts w:ascii="Arial" w:hAnsi="Arial" w:cs="Arial"/>
          <w:sz w:val="22"/>
        </w:rPr>
        <w:t> mil. eur), Poľskom (1</w:t>
      </w:r>
      <w:r w:rsidR="001F30E1">
        <w:rPr>
          <w:rFonts w:ascii="Arial" w:hAnsi="Arial" w:cs="Arial"/>
          <w:sz w:val="22"/>
        </w:rPr>
        <w:t> 178,5</w:t>
      </w:r>
      <w:r>
        <w:rPr>
          <w:rFonts w:ascii="Arial" w:hAnsi="Arial" w:cs="Arial"/>
          <w:sz w:val="22"/>
        </w:rPr>
        <w:t> mil. eur),</w:t>
      </w:r>
      <w:r w:rsidRPr="00F97C3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Českou republikou (</w:t>
      </w:r>
      <w:r w:rsidR="001F30E1">
        <w:rPr>
          <w:rFonts w:ascii="Arial" w:hAnsi="Arial" w:cs="Arial"/>
          <w:sz w:val="22"/>
        </w:rPr>
        <w:t>970,7</w:t>
      </w:r>
      <w:r>
        <w:rPr>
          <w:rFonts w:ascii="Arial" w:hAnsi="Arial" w:cs="Arial"/>
          <w:sz w:val="22"/>
        </w:rPr>
        <w:t> mil. eur), Spojenými štátmi americkými (</w:t>
      </w:r>
      <w:r w:rsidR="001F30E1">
        <w:rPr>
          <w:rFonts w:ascii="Arial" w:hAnsi="Arial" w:cs="Arial"/>
          <w:sz w:val="22"/>
        </w:rPr>
        <w:t>948,1</w:t>
      </w:r>
      <w:r>
        <w:rPr>
          <w:rFonts w:ascii="Arial" w:hAnsi="Arial" w:cs="Arial"/>
          <w:sz w:val="22"/>
        </w:rPr>
        <w:t> mil. eur), Španielskom (</w:t>
      </w:r>
      <w:r w:rsidR="001F30E1">
        <w:rPr>
          <w:rFonts w:ascii="Arial" w:hAnsi="Arial" w:cs="Arial"/>
          <w:sz w:val="22"/>
        </w:rPr>
        <w:t>739,8</w:t>
      </w:r>
      <w:r>
        <w:rPr>
          <w:rFonts w:ascii="Arial" w:hAnsi="Arial" w:cs="Arial"/>
          <w:sz w:val="22"/>
        </w:rPr>
        <w:t> mil. eur), Rumunskom (</w:t>
      </w:r>
      <w:r w:rsidR="001F30E1">
        <w:rPr>
          <w:rFonts w:ascii="Arial" w:hAnsi="Arial" w:cs="Arial"/>
          <w:sz w:val="22"/>
        </w:rPr>
        <w:t>592,8</w:t>
      </w:r>
      <w:r>
        <w:rPr>
          <w:rFonts w:ascii="Arial" w:hAnsi="Arial" w:cs="Arial"/>
          <w:sz w:val="22"/>
        </w:rPr>
        <w:t> mil. eur)</w:t>
      </w:r>
      <w:r w:rsidR="001F30E1">
        <w:rPr>
          <w:rFonts w:ascii="Arial" w:hAnsi="Arial" w:cs="Arial"/>
          <w:sz w:val="22"/>
        </w:rPr>
        <w:t xml:space="preserve"> a </w:t>
      </w:r>
      <w:r w:rsidR="001F30E1">
        <w:rPr>
          <w:rFonts w:ascii="Arial" w:hAnsi="Arial" w:cs="Arial"/>
          <w:sz w:val="22"/>
        </w:rPr>
        <w:t>Maďarskom (584,2 mil. eur)</w:t>
      </w:r>
      <w:r>
        <w:rPr>
          <w:rFonts w:ascii="Arial" w:hAnsi="Arial" w:cs="Arial"/>
          <w:sz w:val="22"/>
        </w:rPr>
        <w:t>.</w:t>
      </w:r>
    </w:p>
    <w:p w:rsidR="00BE030C" w:rsidRPr="00F6710E" w:rsidRDefault="00102075" w:rsidP="00102075">
      <w:pPr>
        <w:pStyle w:val="BodyText21"/>
        <w:tabs>
          <w:tab w:val="left" w:pos="9781"/>
        </w:tabs>
        <w:ind w:firstLine="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Najväčšie pasívne saldo bolo s Kórejskou republikou (2</w:t>
      </w:r>
      <w:r w:rsidR="001F30E1">
        <w:rPr>
          <w:rFonts w:ascii="Arial" w:hAnsi="Arial" w:cs="Arial"/>
          <w:sz w:val="22"/>
        </w:rPr>
        <w:t> 839,4</w:t>
      </w:r>
      <w:r>
        <w:rPr>
          <w:rFonts w:ascii="Arial" w:hAnsi="Arial" w:cs="Arial"/>
          <w:sz w:val="22"/>
        </w:rPr>
        <w:t> mil. eur), Čínou (</w:t>
      </w:r>
      <w:r w:rsidR="001F30E1">
        <w:rPr>
          <w:rFonts w:ascii="Arial" w:hAnsi="Arial" w:cs="Arial"/>
          <w:sz w:val="22"/>
        </w:rPr>
        <w:t>2 014,5</w:t>
      </w:r>
      <w:r>
        <w:rPr>
          <w:rFonts w:ascii="Arial" w:hAnsi="Arial" w:cs="Arial"/>
          <w:sz w:val="22"/>
        </w:rPr>
        <w:t> mil. eur), Ruskou federáciou (1</w:t>
      </w:r>
      <w:r w:rsidR="001F30E1">
        <w:rPr>
          <w:rFonts w:ascii="Arial" w:hAnsi="Arial" w:cs="Arial"/>
          <w:sz w:val="22"/>
        </w:rPr>
        <w:t> 605,1</w:t>
      </w:r>
      <w:r>
        <w:rPr>
          <w:rFonts w:ascii="Arial" w:hAnsi="Arial" w:cs="Arial"/>
          <w:sz w:val="22"/>
        </w:rPr>
        <w:t> mil. eur), Taiwanom (</w:t>
      </w:r>
      <w:r w:rsidR="001F30E1">
        <w:rPr>
          <w:rFonts w:ascii="Arial" w:hAnsi="Arial" w:cs="Arial"/>
          <w:sz w:val="22"/>
        </w:rPr>
        <w:t>268,3</w:t>
      </w:r>
      <w:r>
        <w:rPr>
          <w:rFonts w:ascii="Arial" w:hAnsi="Arial" w:cs="Arial"/>
          <w:sz w:val="22"/>
        </w:rPr>
        <w:t> mil. eur), Malajziou (</w:t>
      </w:r>
      <w:r w:rsidR="001F30E1">
        <w:rPr>
          <w:rFonts w:ascii="Arial" w:hAnsi="Arial" w:cs="Arial"/>
          <w:sz w:val="22"/>
        </w:rPr>
        <w:t>261,8</w:t>
      </w:r>
      <w:r>
        <w:rPr>
          <w:rFonts w:ascii="Arial" w:hAnsi="Arial" w:cs="Arial"/>
          <w:sz w:val="22"/>
        </w:rPr>
        <w:t> mil. eur), Japonskom (</w:t>
      </w:r>
      <w:r w:rsidR="001F30E1">
        <w:rPr>
          <w:rFonts w:ascii="Arial" w:hAnsi="Arial" w:cs="Arial"/>
          <w:sz w:val="22"/>
        </w:rPr>
        <w:t>215,7</w:t>
      </w:r>
      <w:r>
        <w:rPr>
          <w:rFonts w:ascii="Arial" w:hAnsi="Arial" w:cs="Arial"/>
          <w:sz w:val="22"/>
        </w:rPr>
        <w:t> mil. eur), Ukrajinou (</w:t>
      </w:r>
      <w:r w:rsidR="001F30E1">
        <w:rPr>
          <w:rFonts w:ascii="Arial" w:hAnsi="Arial" w:cs="Arial"/>
          <w:sz w:val="22"/>
        </w:rPr>
        <w:t>171,6</w:t>
      </w:r>
      <w:r>
        <w:rPr>
          <w:rFonts w:ascii="Arial" w:hAnsi="Arial" w:cs="Arial"/>
          <w:sz w:val="22"/>
        </w:rPr>
        <w:t> mil. eur) a Indiou (</w:t>
      </w:r>
      <w:r w:rsidR="001F30E1">
        <w:rPr>
          <w:rFonts w:ascii="Arial" w:hAnsi="Arial" w:cs="Arial"/>
          <w:sz w:val="22"/>
        </w:rPr>
        <w:t>138,4</w:t>
      </w:r>
      <w:r>
        <w:rPr>
          <w:rFonts w:ascii="Arial" w:hAnsi="Arial" w:cs="Arial"/>
          <w:sz w:val="22"/>
        </w:rPr>
        <w:t> mil. eur).</w:t>
      </w:r>
    </w:p>
    <w:p w:rsidR="00BE030C" w:rsidRPr="00F6710E" w:rsidRDefault="00BE030C" w:rsidP="000E5D6B">
      <w:pPr>
        <w:pStyle w:val="BodyText21"/>
        <w:tabs>
          <w:tab w:val="left" w:pos="9781"/>
        </w:tabs>
        <w:ind w:firstLine="284"/>
        <w:rPr>
          <w:rFonts w:ascii="Arial" w:hAnsi="Arial" w:cs="Arial"/>
          <w:sz w:val="22"/>
        </w:rPr>
      </w:pPr>
    </w:p>
    <w:p w:rsidR="00BE030C" w:rsidRPr="00F6710E" w:rsidRDefault="00BE030C" w:rsidP="000E5D6B">
      <w:pPr>
        <w:pStyle w:val="BodyText21"/>
        <w:ind w:firstLine="284"/>
        <w:rPr>
          <w:rFonts w:ascii="Arial" w:hAnsi="Arial" w:cs="Arial"/>
          <w:sz w:val="22"/>
        </w:rPr>
      </w:pPr>
      <w:r w:rsidRPr="00F6710E">
        <w:rPr>
          <w:rFonts w:ascii="Arial" w:hAnsi="Arial" w:cs="Arial"/>
          <w:sz w:val="22"/>
        </w:rPr>
        <w:t xml:space="preserve">Zo Slovenskej republiky sa </w:t>
      </w:r>
      <w:r w:rsidRPr="00F6710E">
        <w:rPr>
          <w:rFonts w:ascii="Arial" w:hAnsi="Arial" w:cs="Arial"/>
          <w:b/>
          <w:sz w:val="22"/>
        </w:rPr>
        <w:t xml:space="preserve">vyviezol </w:t>
      </w:r>
      <w:r w:rsidRPr="00F6710E">
        <w:rPr>
          <w:rFonts w:ascii="Arial" w:hAnsi="Arial" w:cs="Arial"/>
          <w:sz w:val="22"/>
        </w:rPr>
        <w:t xml:space="preserve">tovar v hodnote </w:t>
      </w:r>
      <w:r w:rsidR="001F30E1">
        <w:rPr>
          <w:rFonts w:ascii="Arial" w:hAnsi="Arial" w:cs="Arial"/>
          <w:sz w:val="22"/>
        </w:rPr>
        <w:t>51 585,6</w:t>
      </w:r>
      <w:r w:rsidRPr="00F6710E">
        <w:rPr>
          <w:rFonts w:ascii="Arial" w:hAnsi="Arial" w:cs="Arial"/>
          <w:sz w:val="22"/>
        </w:rPr>
        <w:t> mil. </w:t>
      </w:r>
      <w:r w:rsidR="001844CC">
        <w:rPr>
          <w:rFonts w:ascii="Arial" w:hAnsi="Arial" w:cs="Arial"/>
          <w:sz w:val="22"/>
        </w:rPr>
        <w:t>eur</w:t>
      </w:r>
      <w:r w:rsidRPr="00F6710E">
        <w:rPr>
          <w:rFonts w:ascii="Arial" w:hAnsi="Arial" w:cs="Arial"/>
          <w:sz w:val="22"/>
        </w:rPr>
        <w:t xml:space="preserve">. V porovnaní s rovnakým obdobím roku </w:t>
      </w:r>
      <w:r w:rsidR="001552B0">
        <w:rPr>
          <w:rFonts w:ascii="Arial" w:hAnsi="Arial" w:cs="Arial"/>
          <w:sz w:val="22"/>
        </w:rPr>
        <w:t>2017</w:t>
      </w:r>
      <w:r w:rsidRPr="00F6710E">
        <w:rPr>
          <w:rFonts w:ascii="Arial" w:hAnsi="Arial" w:cs="Arial"/>
          <w:sz w:val="22"/>
        </w:rPr>
        <w:t xml:space="preserve"> sa </w:t>
      </w:r>
      <w:r w:rsidR="002447A4" w:rsidRPr="00F6710E">
        <w:rPr>
          <w:rFonts w:ascii="Arial" w:hAnsi="Arial" w:cs="Arial"/>
          <w:sz w:val="22"/>
        </w:rPr>
        <w:t>zvýšil</w:t>
      </w:r>
      <w:r w:rsidRPr="00F6710E">
        <w:rPr>
          <w:rFonts w:ascii="Arial" w:hAnsi="Arial" w:cs="Arial"/>
          <w:sz w:val="22"/>
        </w:rPr>
        <w:t xml:space="preserve"> celkový vývoz o</w:t>
      </w:r>
      <w:r w:rsidR="001F30E1">
        <w:rPr>
          <w:rFonts w:ascii="Arial" w:hAnsi="Arial" w:cs="Arial"/>
          <w:sz w:val="22"/>
        </w:rPr>
        <w:t> 7,4</w:t>
      </w:r>
      <w:r w:rsidRPr="00F6710E">
        <w:rPr>
          <w:rFonts w:ascii="Arial" w:hAnsi="Arial" w:cs="Arial"/>
          <w:sz w:val="22"/>
        </w:rPr>
        <w:t xml:space="preserve"> %. Vývoz agropotravinárskych produktov kapitol 1-24 </w:t>
      </w:r>
      <w:r w:rsidR="00667A92">
        <w:rPr>
          <w:rFonts w:ascii="Arial" w:hAnsi="Arial" w:cs="Arial"/>
          <w:sz w:val="22"/>
        </w:rPr>
        <w:t>H</w:t>
      </w:r>
      <w:r w:rsidRPr="00F6710E">
        <w:rPr>
          <w:rFonts w:ascii="Arial" w:hAnsi="Arial" w:cs="Arial"/>
          <w:sz w:val="22"/>
        </w:rPr>
        <w:t xml:space="preserve">armonizovaného systému dosiahol hodnotu </w:t>
      </w:r>
      <w:r w:rsidR="002447A4" w:rsidRPr="00F6710E">
        <w:rPr>
          <w:rFonts w:ascii="Arial" w:hAnsi="Arial" w:cs="Arial"/>
          <w:sz w:val="22"/>
        </w:rPr>
        <w:t>1</w:t>
      </w:r>
      <w:r w:rsidR="00544546" w:rsidRPr="00F6710E">
        <w:rPr>
          <w:rFonts w:ascii="Arial" w:hAnsi="Arial" w:cs="Arial"/>
          <w:sz w:val="22"/>
        </w:rPr>
        <w:t> 8</w:t>
      </w:r>
      <w:r w:rsidR="00E34CB2" w:rsidRPr="00F6710E">
        <w:rPr>
          <w:rFonts w:ascii="Arial" w:hAnsi="Arial" w:cs="Arial"/>
          <w:sz w:val="22"/>
        </w:rPr>
        <w:t>1</w:t>
      </w:r>
      <w:r w:rsidR="001F30E1">
        <w:rPr>
          <w:rFonts w:ascii="Arial" w:hAnsi="Arial" w:cs="Arial"/>
          <w:sz w:val="22"/>
        </w:rPr>
        <w:t>5</w:t>
      </w:r>
      <w:r w:rsidR="00544546" w:rsidRPr="00F6710E">
        <w:rPr>
          <w:rFonts w:ascii="Arial" w:hAnsi="Arial" w:cs="Arial"/>
          <w:sz w:val="22"/>
        </w:rPr>
        <w:t>,</w:t>
      </w:r>
      <w:r w:rsidR="00E34CB2" w:rsidRPr="00F6710E">
        <w:rPr>
          <w:rFonts w:ascii="Arial" w:hAnsi="Arial" w:cs="Arial"/>
          <w:sz w:val="22"/>
        </w:rPr>
        <w:t>1</w:t>
      </w:r>
      <w:r w:rsidRPr="00F6710E">
        <w:rPr>
          <w:rFonts w:ascii="Arial" w:hAnsi="Arial" w:cs="Arial"/>
          <w:sz w:val="22"/>
        </w:rPr>
        <w:t> mil. </w:t>
      </w:r>
      <w:r w:rsidR="001844CC">
        <w:rPr>
          <w:rFonts w:ascii="Arial" w:hAnsi="Arial" w:cs="Arial"/>
          <w:sz w:val="22"/>
        </w:rPr>
        <w:t>eur</w:t>
      </w:r>
      <w:r w:rsidRPr="00F6710E">
        <w:rPr>
          <w:rFonts w:ascii="Arial" w:hAnsi="Arial" w:cs="Arial"/>
          <w:sz w:val="22"/>
        </w:rPr>
        <w:t xml:space="preserve"> pri medziročnom </w:t>
      </w:r>
      <w:r w:rsidR="001F30E1">
        <w:rPr>
          <w:rFonts w:ascii="Arial" w:hAnsi="Arial" w:cs="Arial"/>
          <w:sz w:val="22"/>
        </w:rPr>
        <w:t>poklese</w:t>
      </w:r>
      <w:r w:rsidRPr="00F6710E">
        <w:rPr>
          <w:rFonts w:ascii="Arial" w:hAnsi="Arial" w:cs="Arial"/>
          <w:sz w:val="22"/>
        </w:rPr>
        <w:t xml:space="preserve"> o</w:t>
      </w:r>
      <w:r w:rsidR="001F30E1">
        <w:rPr>
          <w:rFonts w:ascii="Arial" w:hAnsi="Arial" w:cs="Arial"/>
          <w:sz w:val="22"/>
        </w:rPr>
        <w:t> 3,7</w:t>
      </w:r>
      <w:r w:rsidRPr="00F6710E">
        <w:rPr>
          <w:rFonts w:ascii="Arial" w:hAnsi="Arial" w:cs="Arial"/>
          <w:sz w:val="22"/>
        </w:rPr>
        <w:t> %.</w:t>
      </w:r>
    </w:p>
    <w:p w:rsidR="00BE030C" w:rsidRPr="00F6710E" w:rsidRDefault="00BE030C" w:rsidP="000E5D6B">
      <w:pPr>
        <w:pStyle w:val="BodyText21"/>
        <w:ind w:firstLine="284"/>
        <w:rPr>
          <w:rFonts w:ascii="Arial" w:hAnsi="Arial" w:cs="Arial"/>
          <w:sz w:val="22"/>
        </w:rPr>
      </w:pPr>
    </w:p>
    <w:p w:rsidR="00102075" w:rsidRDefault="00102075" w:rsidP="00102075">
      <w:pPr>
        <w:pStyle w:val="Zkladntext22"/>
        <w:ind w:firstLine="284"/>
        <w:rPr>
          <w:rFonts w:ascii="Arial" w:hAnsi="Arial" w:cs="Arial"/>
          <w:sz w:val="22"/>
        </w:rPr>
      </w:pPr>
      <w:bookmarkStart w:id="0" w:name="OLE_LINK1"/>
      <w:r w:rsidRPr="00C903B6">
        <w:rPr>
          <w:rFonts w:ascii="Arial" w:hAnsi="Arial" w:cs="Arial"/>
          <w:sz w:val="22"/>
        </w:rPr>
        <w:t xml:space="preserve">Z tovarového hľadiska vzrástol vývoz </w:t>
      </w:r>
      <w:r>
        <w:rPr>
          <w:rFonts w:ascii="Arial" w:hAnsi="Arial" w:cs="Arial"/>
          <w:sz w:val="22"/>
        </w:rPr>
        <w:t>osobných automobilov a iných motorových vozidiel konštruovaných hlavne na prepravu osôb o</w:t>
      </w:r>
      <w:r w:rsidR="00505139">
        <w:rPr>
          <w:rFonts w:ascii="Arial" w:hAnsi="Arial" w:cs="Arial"/>
          <w:sz w:val="22"/>
        </w:rPr>
        <w:t> 2 147,3</w:t>
      </w:r>
      <w:r>
        <w:rPr>
          <w:rFonts w:ascii="Arial" w:hAnsi="Arial" w:cs="Arial"/>
          <w:sz w:val="22"/>
        </w:rPr>
        <w:t xml:space="preserve"> mil. eur, </w:t>
      </w:r>
      <w:r w:rsidR="00505139">
        <w:rPr>
          <w:rFonts w:ascii="Arial" w:hAnsi="Arial" w:cs="Arial"/>
          <w:sz w:val="22"/>
        </w:rPr>
        <w:t>elektrických prístrojov osvetľovacích a signalizačných o</w:t>
      </w:r>
      <w:r w:rsidR="00505139">
        <w:rPr>
          <w:rFonts w:ascii="Arial" w:hAnsi="Arial" w:cs="Arial"/>
          <w:sz w:val="22"/>
        </w:rPr>
        <w:t> 186,1</w:t>
      </w:r>
      <w:r w:rsidR="00505139">
        <w:rPr>
          <w:rFonts w:ascii="Arial" w:hAnsi="Arial" w:cs="Arial"/>
          <w:sz w:val="22"/>
        </w:rPr>
        <w:t xml:space="preserve"> mil. eur, </w:t>
      </w:r>
      <w:r>
        <w:rPr>
          <w:rFonts w:ascii="Arial" w:hAnsi="Arial" w:cs="Arial"/>
          <w:sz w:val="22"/>
        </w:rPr>
        <w:t>telefónnych súprav, vrátane telefónov pre celulárnu sieť o</w:t>
      </w:r>
      <w:r w:rsidR="00505139">
        <w:rPr>
          <w:rFonts w:ascii="Arial" w:hAnsi="Arial" w:cs="Arial"/>
          <w:sz w:val="22"/>
        </w:rPr>
        <w:t> 122,7</w:t>
      </w:r>
      <w:r>
        <w:rPr>
          <w:rFonts w:ascii="Arial" w:hAnsi="Arial" w:cs="Arial"/>
          <w:sz w:val="22"/>
        </w:rPr>
        <w:t> mil. eur</w:t>
      </w:r>
      <w:r w:rsidR="00505139">
        <w:rPr>
          <w:rFonts w:ascii="Arial" w:hAnsi="Arial" w:cs="Arial"/>
          <w:sz w:val="22"/>
        </w:rPr>
        <w:t xml:space="preserve"> a </w:t>
      </w:r>
      <w:r>
        <w:rPr>
          <w:rFonts w:ascii="Arial" w:hAnsi="Arial" w:cs="Arial"/>
          <w:sz w:val="22"/>
        </w:rPr>
        <w:t>častí, súčastí a príslušenstva motorových vozidiel o</w:t>
      </w:r>
      <w:r w:rsidR="00505139">
        <w:rPr>
          <w:rFonts w:ascii="Arial" w:hAnsi="Arial" w:cs="Arial"/>
          <w:sz w:val="22"/>
        </w:rPr>
        <w:t> 112,1</w:t>
      </w:r>
      <w:r>
        <w:rPr>
          <w:rFonts w:ascii="Arial" w:hAnsi="Arial" w:cs="Arial"/>
          <w:sz w:val="22"/>
        </w:rPr>
        <w:t xml:space="preserve"> mil. eur. </w:t>
      </w:r>
    </w:p>
    <w:p w:rsidR="00102075" w:rsidRPr="008A0058" w:rsidRDefault="00102075" w:rsidP="00102075">
      <w:pPr>
        <w:pStyle w:val="BodyText21"/>
        <w:ind w:firstLine="284"/>
        <w:rPr>
          <w:rFonts w:ascii="Arial" w:hAnsi="Arial" w:cs="Arial"/>
          <w:sz w:val="22"/>
        </w:rPr>
      </w:pPr>
      <w:r w:rsidRPr="00BB523B">
        <w:rPr>
          <w:rFonts w:ascii="Arial" w:hAnsi="Arial" w:cs="Arial"/>
          <w:sz w:val="22"/>
        </w:rPr>
        <w:t xml:space="preserve">Najviac klesol vývoz </w:t>
      </w:r>
      <w:r w:rsidRPr="008D5657">
        <w:rPr>
          <w:rFonts w:ascii="Arial" w:hAnsi="Arial" w:cs="Arial"/>
          <w:sz w:val="22"/>
          <w:szCs w:val="22"/>
        </w:rPr>
        <w:t>monitorov a projektorov, televíznych prijímačov o</w:t>
      </w:r>
      <w:r w:rsidR="00505139">
        <w:rPr>
          <w:rFonts w:ascii="Arial" w:hAnsi="Arial" w:cs="Arial"/>
          <w:sz w:val="22"/>
          <w:szCs w:val="22"/>
        </w:rPr>
        <w:t> 232,6</w:t>
      </w:r>
      <w:r w:rsidRPr="008D5657">
        <w:rPr>
          <w:rFonts w:ascii="Arial" w:hAnsi="Arial" w:cs="Arial"/>
          <w:sz w:val="22"/>
          <w:szCs w:val="22"/>
        </w:rPr>
        <w:t xml:space="preserve"> mil. eur, </w:t>
      </w:r>
      <w:r w:rsidR="00505139">
        <w:rPr>
          <w:rFonts w:ascii="Arial" w:hAnsi="Arial" w:cs="Arial"/>
          <w:sz w:val="22"/>
          <w:szCs w:val="22"/>
        </w:rPr>
        <w:t xml:space="preserve">karosérií motorových vozidiel o 164,6 mil. eur, </w:t>
      </w:r>
      <w:r w:rsidRPr="0070339F">
        <w:rPr>
          <w:rFonts w:ascii="Arial" w:hAnsi="Arial" w:cs="Arial"/>
          <w:sz w:val="22"/>
        </w:rPr>
        <w:t>častí a súčastí vhodných pre vysielacie prístroje pre rádiotelefóniu, rozhlasové a televízne vysielanie o</w:t>
      </w:r>
      <w:r w:rsidR="00505139">
        <w:rPr>
          <w:rFonts w:ascii="Arial" w:hAnsi="Arial" w:cs="Arial"/>
          <w:sz w:val="22"/>
        </w:rPr>
        <w:t> 112,3</w:t>
      </w:r>
      <w:r>
        <w:rPr>
          <w:rFonts w:ascii="Arial" w:hAnsi="Arial" w:cs="Arial"/>
          <w:sz w:val="22"/>
        </w:rPr>
        <w:t> mil. eur a </w:t>
      </w:r>
      <w:r w:rsidRPr="008D5657">
        <w:rPr>
          <w:rFonts w:ascii="Arial" w:hAnsi="Arial" w:cs="Arial"/>
          <w:sz w:val="22"/>
          <w:szCs w:val="22"/>
        </w:rPr>
        <w:t>piestových vznetových motorov o</w:t>
      </w:r>
      <w:r w:rsidR="00505139">
        <w:rPr>
          <w:rFonts w:ascii="Arial" w:hAnsi="Arial" w:cs="Arial"/>
          <w:sz w:val="22"/>
          <w:szCs w:val="22"/>
        </w:rPr>
        <w:t> 95,6</w:t>
      </w:r>
      <w:r w:rsidRPr="008D5657">
        <w:rPr>
          <w:rFonts w:ascii="Arial" w:hAnsi="Arial" w:cs="Arial"/>
          <w:sz w:val="22"/>
          <w:szCs w:val="22"/>
        </w:rPr>
        <w:t> mil. eur</w:t>
      </w:r>
      <w:r w:rsidRPr="00D56E87">
        <w:rPr>
          <w:rFonts w:ascii="Arial" w:hAnsi="Arial" w:cs="Arial"/>
          <w:sz w:val="22"/>
          <w:szCs w:val="22"/>
        </w:rPr>
        <w:t>.</w:t>
      </w:r>
      <w:r w:rsidRPr="008A0058">
        <w:rPr>
          <w:rFonts w:ascii="Arial" w:hAnsi="Arial" w:cs="Arial"/>
          <w:sz w:val="22"/>
        </w:rPr>
        <w:t xml:space="preserve"> </w:t>
      </w:r>
      <w:bookmarkEnd w:id="0"/>
    </w:p>
    <w:p w:rsidR="00102075" w:rsidRDefault="00102075" w:rsidP="00102075">
      <w:pPr>
        <w:pStyle w:val="Zkladntext21"/>
        <w:ind w:firstLine="284"/>
        <w:rPr>
          <w:rFonts w:ascii="Arial" w:hAnsi="Arial" w:cs="Arial"/>
          <w:sz w:val="22"/>
        </w:rPr>
      </w:pPr>
    </w:p>
    <w:p w:rsidR="00102075" w:rsidRPr="006963BF" w:rsidRDefault="00102075" w:rsidP="00102075">
      <w:pPr>
        <w:pStyle w:val="Zkladntext21"/>
        <w:ind w:firstLine="284"/>
        <w:rPr>
          <w:rFonts w:ascii="Arial" w:hAnsi="Arial" w:cs="Arial"/>
          <w:sz w:val="22"/>
        </w:rPr>
      </w:pPr>
      <w:r w:rsidRPr="00FD70BE">
        <w:rPr>
          <w:rFonts w:ascii="Arial" w:hAnsi="Arial" w:cs="Arial"/>
          <w:sz w:val="22"/>
        </w:rPr>
        <w:t xml:space="preserve">V rámci najvýznamnejších obchodných partnerov vzrástol vývoz do </w:t>
      </w:r>
      <w:r>
        <w:rPr>
          <w:rFonts w:ascii="Arial" w:hAnsi="Arial" w:cs="Arial"/>
          <w:sz w:val="22"/>
        </w:rPr>
        <w:t>Nemecka o</w:t>
      </w:r>
      <w:r w:rsidR="001F30E1">
        <w:rPr>
          <w:rFonts w:ascii="Arial" w:hAnsi="Arial" w:cs="Arial"/>
          <w:sz w:val="22"/>
        </w:rPr>
        <w:t> 18,9</w:t>
      </w:r>
      <w:r>
        <w:rPr>
          <w:rFonts w:ascii="Arial" w:hAnsi="Arial" w:cs="Arial"/>
          <w:sz w:val="22"/>
        </w:rPr>
        <w:t> </w:t>
      </w:r>
      <w:r w:rsidRPr="006963BF">
        <w:rPr>
          <w:rFonts w:ascii="Arial" w:hAnsi="Arial" w:cs="Arial"/>
          <w:sz w:val="22"/>
        </w:rPr>
        <w:t>%</w:t>
      </w:r>
      <w:r>
        <w:rPr>
          <w:rFonts w:ascii="Arial" w:hAnsi="Arial" w:cs="Arial"/>
          <w:sz w:val="22"/>
        </w:rPr>
        <w:t xml:space="preserve">, </w:t>
      </w:r>
      <w:r w:rsidRPr="006963BF">
        <w:rPr>
          <w:rFonts w:ascii="Arial" w:hAnsi="Arial" w:cs="Arial"/>
          <w:sz w:val="22"/>
        </w:rPr>
        <w:t>Českej republiky o</w:t>
      </w:r>
      <w:r>
        <w:rPr>
          <w:rFonts w:ascii="Arial" w:hAnsi="Arial" w:cs="Arial"/>
          <w:sz w:val="22"/>
        </w:rPr>
        <w:t> 8</w:t>
      </w:r>
      <w:r w:rsidRPr="006963BF">
        <w:rPr>
          <w:rFonts w:ascii="Arial" w:hAnsi="Arial" w:cs="Arial"/>
          <w:sz w:val="22"/>
        </w:rPr>
        <w:t> %, Poľska o</w:t>
      </w:r>
      <w:r w:rsidR="001F30E1">
        <w:rPr>
          <w:rFonts w:ascii="Arial" w:hAnsi="Arial" w:cs="Arial"/>
          <w:sz w:val="22"/>
        </w:rPr>
        <w:t> </w:t>
      </w:r>
      <w:r>
        <w:rPr>
          <w:rFonts w:ascii="Arial" w:hAnsi="Arial" w:cs="Arial"/>
          <w:sz w:val="22"/>
        </w:rPr>
        <w:t>5</w:t>
      </w:r>
      <w:r w:rsidR="001F30E1">
        <w:rPr>
          <w:rFonts w:ascii="Arial" w:hAnsi="Arial" w:cs="Arial"/>
          <w:sz w:val="22"/>
        </w:rPr>
        <w:t>,6</w:t>
      </w:r>
      <w:r w:rsidRPr="006963BF">
        <w:rPr>
          <w:rFonts w:ascii="Arial" w:hAnsi="Arial" w:cs="Arial"/>
          <w:sz w:val="22"/>
        </w:rPr>
        <w:t> %, Francúzska o</w:t>
      </w:r>
      <w:r w:rsidR="001F30E1">
        <w:rPr>
          <w:rFonts w:ascii="Arial" w:hAnsi="Arial" w:cs="Arial"/>
          <w:sz w:val="22"/>
        </w:rPr>
        <w:t> 7,4</w:t>
      </w:r>
      <w:r w:rsidRPr="006963BF">
        <w:rPr>
          <w:rFonts w:ascii="Arial" w:hAnsi="Arial" w:cs="Arial"/>
          <w:sz w:val="22"/>
        </w:rPr>
        <w:t> %,</w:t>
      </w:r>
      <w:r>
        <w:rPr>
          <w:rFonts w:ascii="Arial" w:hAnsi="Arial" w:cs="Arial"/>
          <w:sz w:val="22"/>
        </w:rPr>
        <w:t xml:space="preserve"> </w:t>
      </w:r>
      <w:r w:rsidRPr="006963BF">
        <w:rPr>
          <w:rFonts w:ascii="Arial" w:hAnsi="Arial" w:cs="Arial"/>
          <w:sz w:val="22"/>
        </w:rPr>
        <w:t>Talianska o</w:t>
      </w:r>
      <w:r w:rsidR="001F30E1">
        <w:rPr>
          <w:rFonts w:ascii="Arial" w:hAnsi="Arial" w:cs="Arial"/>
          <w:sz w:val="22"/>
        </w:rPr>
        <w:t> 17,9</w:t>
      </w:r>
      <w:r w:rsidRPr="006963BF">
        <w:rPr>
          <w:rFonts w:ascii="Arial" w:hAnsi="Arial" w:cs="Arial"/>
          <w:sz w:val="22"/>
        </w:rPr>
        <w:t> %, Rakúska o</w:t>
      </w:r>
      <w:r w:rsidR="001F30E1">
        <w:rPr>
          <w:rFonts w:ascii="Arial" w:hAnsi="Arial" w:cs="Arial"/>
          <w:sz w:val="22"/>
        </w:rPr>
        <w:t> 5,1</w:t>
      </w:r>
      <w:r w:rsidRPr="006963BF">
        <w:rPr>
          <w:rFonts w:ascii="Arial" w:hAnsi="Arial" w:cs="Arial"/>
          <w:sz w:val="22"/>
        </w:rPr>
        <w:t> %</w:t>
      </w:r>
      <w:r>
        <w:rPr>
          <w:rFonts w:ascii="Arial" w:hAnsi="Arial" w:cs="Arial"/>
          <w:sz w:val="22"/>
        </w:rPr>
        <w:t xml:space="preserve">, </w:t>
      </w:r>
      <w:r w:rsidRPr="006963BF">
        <w:rPr>
          <w:rFonts w:ascii="Arial" w:hAnsi="Arial" w:cs="Arial"/>
          <w:sz w:val="22"/>
        </w:rPr>
        <w:t>Španielska o</w:t>
      </w:r>
      <w:r>
        <w:rPr>
          <w:rFonts w:ascii="Arial" w:hAnsi="Arial" w:cs="Arial"/>
          <w:sz w:val="22"/>
        </w:rPr>
        <w:t> </w:t>
      </w:r>
      <w:r w:rsidR="001F30E1">
        <w:rPr>
          <w:rFonts w:ascii="Arial" w:hAnsi="Arial" w:cs="Arial"/>
          <w:sz w:val="22"/>
        </w:rPr>
        <w:t>6</w:t>
      </w:r>
      <w:r w:rsidRPr="006963BF">
        <w:rPr>
          <w:rFonts w:ascii="Arial" w:hAnsi="Arial" w:cs="Arial"/>
          <w:sz w:val="22"/>
        </w:rPr>
        <w:t> %</w:t>
      </w:r>
      <w:r w:rsidR="00505139">
        <w:rPr>
          <w:rFonts w:ascii="Arial" w:hAnsi="Arial" w:cs="Arial"/>
          <w:sz w:val="22"/>
        </w:rPr>
        <w:t>,</w:t>
      </w:r>
      <w:r w:rsidR="00505139" w:rsidRPr="00505139">
        <w:rPr>
          <w:rFonts w:ascii="Arial" w:hAnsi="Arial" w:cs="Arial"/>
          <w:sz w:val="22"/>
        </w:rPr>
        <w:t xml:space="preserve"> </w:t>
      </w:r>
      <w:r w:rsidR="00505139">
        <w:rPr>
          <w:rFonts w:ascii="Arial" w:hAnsi="Arial" w:cs="Arial"/>
          <w:sz w:val="22"/>
        </w:rPr>
        <w:t>Spojených štátov amerických o 3,7 %</w:t>
      </w:r>
      <w:r>
        <w:rPr>
          <w:rFonts w:ascii="Arial" w:hAnsi="Arial" w:cs="Arial"/>
          <w:sz w:val="22"/>
        </w:rPr>
        <w:t xml:space="preserve"> a </w:t>
      </w:r>
      <w:r w:rsidRPr="006963BF">
        <w:rPr>
          <w:rFonts w:ascii="Arial" w:hAnsi="Arial" w:cs="Arial"/>
          <w:sz w:val="22"/>
        </w:rPr>
        <w:t>Rumunska o</w:t>
      </w:r>
      <w:r w:rsidR="001F30E1">
        <w:rPr>
          <w:rFonts w:ascii="Arial" w:hAnsi="Arial" w:cs="Arial"/>
          <w:sz w:val="22"/>
        </w:rPr>
        <w:t> 11,7</w:t>
      </w:r>
      <w:r w:rsidRPr="006963BF">
        <w:rPr>
          <w:rFonts w:ascii="Arial" w:hAnsi="Arial" w:cs="Arial"/>
          <w:sz w:val="22"/>
        </w:rPr>
        <w:t> %</w:t>
      </w:r>
      <w:r>
        <w:rPr>
          <w:rFonts w:ascii="Arial" w:hAnsi="Arial" w:cs="Arial"/>
          <w:sz w:val="22"/>
        </w:rPr>
        <w:t xml:space="preserve">. Znížil sa vývoz do </w:t>
      </w:r>
      <w:r w:rsidR="001F30E1" w:rsidRPr="006963BF">
        <w:rPr>
          <w:rFonts w:ascii="Arial" w:hAnsi="Arial" w:cs="Arial"/>
          <w:sz w:val="22"/>
        </w:rPr>
        <w:t>Maďarska o</w:t>
      </w:r>
      <w:r w:rsidR="001F30E1">
        <w:rPr>
          <w:rFonts w:ascii="Arial" w:hAnsi="Arial" w:cs="Arial"/>
          <w:sz w:val="22"/>
        </w:rPr>
        <w:t> 0,6</w:t>
      </w:r>
      <w:r w:rsidR="001F30E1" w:rsidRPr="006963BF">
        <w:rPr>
          <w:rFonts w:ascii="Arial" w:hAnsi="Arial" w:cs="Arial"/>
          <w:sz w:val="22"/>
        </w:rPr>
        <w:t> %,</w:t>
      </w:r>
      <w:r w:rsidR="001F30E1">
        <w:rPr>
          <w:rFonts w:ascii="Arial" w:hAnsi="Arial" w:cs="Arial"/>
          <w:sz w:val="22"/>
        </w:rPr>
        <w:t xml:space="preserve"> </w:t>
      </w:r>
      <w:r w:rsidRPr="00FD70BE">
        <w:rPr>
          <w:rFonts w:ascii="Arial" w:hAnsi="Arial" w:cs="Arial"/>
          <w:sz w:val="22"/>
        </w:rPr>
        <w:t xml:space="preserve">Spojeného </w:t>
      </w:r>
      <w:r w:rsidRPr="006963BF">
        <w:rPr>
          <w:rFonts w:ascii="Arial" w:hAnsi="Arial" w:cs="Arial"/>
          <w:sz w:val="22"/>
        </w:rPr>
        <w:t>kráľovstva o</w:t>
      </w:r>
      <w:r w:rsidR="001F30E1">
        <w:rPr>
          <w:rFonts w:ascii="Arial" w:hAnsi="Arial" w:cs="Arial"/>
          <w:sz w:val="22"/>
        </w:rPr>
        <w:t> 12,1</w:t>
      </w:r>
      <w:r w:rsidRPr="006963BF">
        <w:rPr>
          <w:rFonts w:ascii="Arial" w:hAnsi="Arial" w:cs="Arial"/>
          <w:sz w:val="22"/>
        </w:rPr>
        <w:t xml:space="preserve"> % </w:t>
      </w:r>
      <w:r>
        <w:rPr>
          <w:rFonts w:ascii="Arial" w:hAnsi="Arial" w:cs="Arial"/>
          <w:sz w:val="22"/>
        </w:rPr>
        <w:t>a </w:t>
      </w:r>
      <w:r w:rsidRPr="006963BF">
        <w:rPr>
          <w:rFonts w:ascii="Arial" w:hAnsi="Arial" w:cs="Arial"/>
          <w:sz w:val="22"/>
        </w:rPr>
        <w:t>Holandska o</w:t>
      </w:r>
      <w:r>
        <w:rPr>
          <w:rFonts w:ascii="Arial" w:hAnsi="Arial" w:cs="Arial"/>
          <w:sz w:val="22"/>
        </w:rPr>
        <w:t> </w:t>
      </w:r>
      <w:r w:rsidR="00505139">
        <w:rPr>
          <w:rFonts w:ascii="Arial" w:hAnsi="Arial" w:cs="Arial"/>
          <w:sz w:val="22"/>
        </w:rPr>
        <w:t>8</w:t>
      </w:r>
      <w:r w:rsidRPr="006963BF">
        <w:rPr>
          <w:rFonts w:ascii="Arial" w:hAnsi="Arial" w:cs="Arial"/>
          <w:sz w:val="22"/>
        </w:rPr>
        <w:t> %</w:t>
      </w:r>
      <w:r>
        <w:rPr>
          <w:rFonts w:ascii="Arial" w:hAnsi="Arial" w:cs="Arial"/>
          <w:sz w:val="22"/>
        </w:rPr>
        <w:t>.</w:t>
      </w:r>
    </w:p>
    <w:p w:rsidR="00BE030C" w:rsidRPr="00C03923" w:rsidRDefault="00102075" w:rsidP="00102075">
      <w:pPr>
        <w:pStyle w:val="BodyText21"/>
        <w:ind w:firstLine="284"/>
        <w:rPr>
          <w:rFonts w:ascii="Arial" w:hAnsi="Arial" w:cs="Arial"/>
          <w:sz w:val="22"/>
        </w:rPr>
      </w:pPr>
      <w:r w:rsidRPr="006963BF">
        <w:rPr>
          <w:rFonts w:ascii="Arial" w:hAnsi="Arial" w:cs="Arial"/>
          <w:sz w:val="22"/>
        </w:rPr>
        <w:t xml:space="preserve">Z pohľadu hlavných ekonomických zoskupení sa </w:t>
      </w:r>
      <w:r>
        <w:rPr>
          <w:rFonts w:ascii="Arial" w:hAnsi="Arial" w:cs="Arial"/>
          <w:sz w:val="22"/>
        </w:rPr>
        <w:t>zvýšil</w:t>
      </w:r>
      <w:r w:rsidRPr="006963BF">
        <w:rPr>
          <w:rFonts w:ascii="Arial" w:hAnsi="Arial" w:cs="Arial"/>
          <w:sz w:val="22"/>
        </w:rPr>
        <w:t xml:space="preserve"> vývoz do krajín EÚ o</w:t>
      </w:r>
      <w:r>
        <w:rPr>
          <w:rFonts w:ascii="Arial" w:hAnsi="Arial" w:cs="Arial"/>
          <w:sz w:val="22"/>
        </w:rPr>
        <w:t> 8,</w:t>
      </w:r>
      <w:r w:rsidR="00505139">
        <w:rPr>
          <w:rFonts w:ascii="Arial" w:hAnsi="Arial" w:cs="Arial"/>
          <w:sz w:val="22"/>
        </w:rPr>
        <w:t>1</w:t>
      </w:r>
      <w:r w:rsidRPr="006963BF">
        <w:rPr>
          <w:rFonts w:ascii="Arial" w:hAnsi="Arial" w:cs="Arial"/>
          <w:sz w:val="22"/>
        </w:rPr>
        <w:t xml:space="preserve"> % (tvoril </w:t>
      </w:r>
      <w:r w:rsidR="00505139">
        <w:rPr>
          <w:rFonts w:ascii="Arial" w:hAnsi="Arial" w:cs="Arial"/>
          <w:sz w:val="22"/>
        </w:rPr>
        <w:t>85,7</w:t>
      </w:r>
      <w:r w:rsidRPr="006963BF">
        <w:rPr>
          <w:rFonts w:ascii="Arial" w:hAnsi="Arial" w:cs="Arial"/>
          <w:sz w:val="22"/>
        </w:rPr>
        <w:t> % celkového vývozu SR) a</w:t>
      </w:r>
      <w:r>
        <w:rPr>
          <w:rFonts w:ascii="Arial" w:hAnsi="Arial" w:cs="Arial"/>
          <w:sz w:val="22"/>
        </w:rPr>
        <w:t> </w:t>
      </w:r>
      <w:r w:rsidRPr="006963BF">
        <w:rPr>
          <w:rFonts w:ascii="Arial" w:hAnsi="Arial" w:cs="Arial"/>
          <w:sz w:val="22"/>
        </w:rPr>
        <w:t>do krajín OECD o</w:t>
      </w:r>
      <w:r w:rsidR="00505139">
        <w:rPr>
          <w:rFonts w:ascii="Arial" w:hAnsi="Arial" w:cs="Arial"/>
          <w:sz w:val="22"/>
        </w:rPr>
        <w:t> 7,4</w:t>
      </w:r>
      <w:r w:rsidRPr="006963BF">
        <w:rPr>
          <w:rFonts w:ascii="Arial" w:hAnsi="Arial" w:cs="Arial"/>
          <w:sz w:val="22"/>
        </w:rPr>
        <w:t xml:space="preserve"> % (na celkovom vývoze SR sa podieľal </w:t>
      </w:r>
      <w:r>
        <w:rPr>
          <w:rFonts w:ascii="Arial" w:hAnsi="Arial" w:cs="Arial"/>
          <w:sz w:val="22"/>
        </w:rPr>
        <w:t>88,</w:t>
      </w:r>
      <w:r w:rsidR="00505139">
        <w:rPr>
          <w:rFonts w:ascii="Arial" w:hAnsi="Arial" w:cs="Arial"/>
          <w:sz w:val="22"/>
        </w:rPr>
        <w:t>6</w:t>
      </w:r>
      <w:r w:rsidRPr="006963BF">
        <w:rPr>
          <w:rFonts w:ascii="Arial" w:hAnsi="Arial" w:cs="Arial"/>
          <w:sz w:val="22"/>
        </w:rPr>
        <w:t> %).</w:t>
      </w:r>
    </w:p>
    <w:p w:rsidR="00BE030C" w:rsidRPr="00C03923" w:rsidRDefault="00BE030C" w:rsidP="000E5D6B">
      <w:pPr>
        <w:ind w:firstLine="284"/>
        <w:jc w:val="both"/>
        <w:rPr>
          <w:rFonts w:ascii="Arial" w:hAnsi="Arial" w:cs="Arial"/>
          <w:sz w:val="22"/>
          <w:lang w:val="sk-SK"/>
        </w:rPr>
      </w:pPr>
    </w:p>
    <w:p w:rsidR="00BE030C" w:rsidRPr="00C03923" w:rsidRDefault="00BE030C" w:rsidP="000E5D6B">
      <w:pPr>
        <w:pStyle w:val="BodyText21"/>
        <w:ind w:firstLine="284"/>
        <w:rPr>
          <w:rFonts w:ascii="Arial" w:hAnsi="Arial" w:cs="Arial"/>
          <w:sz w:val="22"/>
        </w:rPr>
      </w:pPr>
      <w:r w:rsidRPr="00C03923">
        <w:rPr>
          <w:rFonts w:ascii="Arial" w:hAnsi="Arial" w:cs="Arial"/>
          <w:sz w:val="22"/>
        </w:rPr>
        <w:t>Do</w:t>
      </w:r>
      <w:r w:rsidRPr="00C03923">
        <w:rPr>
          <w:rFonts w:ascii="Arial" w:hAnsi="Arial" w:cs="Arial"/>
          <w:b/>
          <w:sz w:val="22"/>
        </w:rPr>
        <w:t xml:space="preserve"> </w:t>
      </w:r>
      <w:r w:rsidRPr="00C03923">
        <w:rPr>
          <w:rFonts w:ascii="Arial" w:hAnsi="Arial" w:cs="Arial"/>
          <w:sz w:val="22"/>
        </w:rPr>
        <w:t xml:space="preserve">Slovenskej republiky sa </w:t>
      </w:r>
      <w:r w:rsidRPr="00C03923">
        <w:rPr>
          <w:rFonts w:ascii="Arial" w:hAnsi="Arial" w:cs="Arial"/>
          <w:b/>
          <w:sz w:val="22"/>
        </w:rPr>
        <w:t xml:space="preserve">doviezol </w:t>
      </w:r>
      <w:r w:rsidRPr="00C03923">
        <w:rPr>
          <w:rFonts w:ascii="Arial" w:hAnsi="Arial" w:cs="Arial"/>
          <w:sz w:val="22"/>
        </w:rPr>
        <w:t xml:space="preserve">tovar v hodnote </w:t>
      </w:r>
      <w:r w:rsidR="001F30E1">
        <w:rPr>
          <w:rFonts w:ascii="Arial" w:hAnsi="Arial" w:cs="Arial"/>
          <w:sz w:val="22"/>
        </w:rPr>
        <w:t>49 853,5</w:t>
      </w:r>
      <w:r w:rsidRPr="00C03923">
        <w:rPr>
          <w:rFonts w:ascii="Arial" w:hAnsi="Arial" w:cs="Arial"/>
          <w:sz w:val="22"/>
        </w:rPr>
        <w:t> mil. </w:t>
      </w:r>
      <w:r w:rsidR="001844CC">
        <w:rPr>
          <w:rFonts w:ascii="Arial" w:hAnsi="Arial" w:cs="Arial"/>
          <w:sz w:val="22"/>
        </w:rPr>
        <w:t>eur</w:t>
      </w:r>
      <w:r w:rsidRPr="00C03923">
        <w:rPr>
          <w:rFonts w:ascii="Arial" w:hAnsi="Arial" w:cs="Arial"/>
          <w:sz w:val="22"/>
        </w:rPr>
        <w:t xml:space="preserve">, pri medziročnom </w:t>
      </w:r>
      <w:r w:rsidR="002447A4" w:rsidRPr="00C03923">
        <w:rPr>
          <w:rFonts w:ascii="Arial" w:hAnsi="Arial" w:cs="Arial"/>
          <w:sz w:val="22"/>
        </w:rPr>
        <w:t>raste</w:t>
      </w:r>
      <w:r w:rsidRPr="00C03923">
        <w:rPr>
          <w:rFonts w:ascii="Arial" w:hAnsi="Arial" w:cs="Arial"/>
          <w:sz w:val="22"/>
        </w:rPr>
        <w:t xml:space="preserve"> o</w:t>
      </w:r>
      <w:r w:rsidR="001F30E1">
        <w:rPr>
          <w:rFonts w:ascii="Arial" w:hAnsi="Arial" w:cs="Arial"/>
          <w:sz w:val="22"/>
        </w:rPr>
        <w:t> 7,4</w:t>
      </w:r>
      <w:r w:rsidRPr="00C03923">
        <w:rPr>
          <w:rFonts w:ascii="Arial" w:hAnsi="Arial" w:cs="Arial"/>
          <w:sz w:val="22"/>
        </w:rPr>
        <w:t xml:space="preserve"> %. Dovoz agropotravinárskych produktov kapitol 1-24 </w:t>
      </w:r>
      <w:r w:rsidR="00667A92">
        <w:rPr>
          <w:rFonts w:ascii="Arial" w:hAnsi="Arial" w:cs="Arial"/>
          <w:sz w:val="22"/>
        </w:rPr>
        <w:t>H</w:t>
      </w:r>
      <w:r w:rsidRPr="00C03923">
        <w:rPr>
          <w:rFonts w:ascii="Arial" w:hAnsi="Arial" w:cs="Arial"/>
          <w:sz w:val="22"/>
        </w:rPr>
        <w:t xml:space="preserve">armonizovaného systému dosiahol hodnotu </w:t>
      </w:r>
      <w:r w:rsidR="002447A4" w:rsidRPr="00C03923">
        <w:rPr>
          <w:rFonts w:ascii="Arial" w:hAnsi="Arial" w:cs="Arial"/>
          <w:sz w:val="22"/>
        </w:rPr>
        <w:t>2</w:t>
      </w:r>
      <w:r w:rsidR="001F30E1">
        <w:rPr>
          <w:rFonts w:ascii="Arial" w:hAnsi="Arial" w:cs="Arial"/>
          <w:sz w:val="22"/>
        </w:rPr>
        <w:t> 961,5</w:t>
      </w:r>
      <w:r w:rsidRPr="00C03923">
        <w:rPr>
          <w:rFonts w:ascii="Arial" w:hAnsi="Arial" w:cs="Arial"/>
          <w:sz w:val="22"/>
        </w:rPr>
        <w:t> mil. </w:t>
      </w:r>
      <w:r w:rsidR="001844CC">
        <w:rPr>
          <w:rFonts w:ascii="Arial" w:hAnsi="Arial" w:cs="Arial"/>
          <w:sz w:val="22"/>
        </w:rPr>
        <w:t>eur</w:t>
      </w:r>
      <w:r w:rsidRPr="00C03923">
        <w:rPr>
          <w:rFonts w:ascii="Arial" w:hAnsi="Arial" w:cs="Arial"/>
          <w:sz w:val="22"/>
        </w:rPr>
        <w:t xml:space="preserve"> pri medziročnom </w:t>
      </w:r>
      <w:r w:rsidR="001F30E1">
        <w:rPr>
          <w:rFonts w:ascii="Arial" w:hAnsi="Arial" w:cs="Arial"/>
          <w:sz w:val="22"/>
        </w:rPr>
        <w:t>raste</w:t>
      </w:r>
      <w:r w:rsidRPr="00C03923">
        <w:rPr>
          <w:rFonts w:ascii="Arial" w:hAnsi="Arial" w:cs="Arial"/>
          <w:sz w:val="22"/>
        </w:rPr>
        <w:t xml:space="preserve"> o</w:t>
      </w:r>
      <w:r w:rsidR="001F30E1">
        <w:rPr>
          <w:rFonts w:ascii="Arial" w:hAnsi="Arial" w:cs="Arial"/>
          <w:sz w:val="22"/>
        </w:rPr>
        <w:t> 7,7</w:t>
      </w:r>
      <w:r w:rsidRPr="00C03923">
        <w:rPr>
          <w:rFonts w:ascii="Arial" w:hAnsi="Arial" w:cs="Arial"/>
          <w:sz w:val="22"/>
        </w:rPr>
        <w:t> %.</w:t>
      </w:r>
    </w:p>
    <w:p w:rsidR="00BE030C" w:rsidRPr="00C03923" w:rsidRDefault="00BE030C" w:rsidP="000E5D6B">
      <w:pPr>
        <w:pStyle w:val="BodyText21"/>
        <w:ind w:firstLine="284"/>
        <w:rPr>
          <w:rFonts w:ascii="Arial" w:hAnsi="Arial" w:cs="Arial"/>
          <w:sz w:val="22"/>
        </w:rPr>
      </w:pPr>
    </w:p>
    <w:p w:rsidR="00102075" w:rsidRDefault="00102075" w:rsidP="00102075">
      <w:pPr>
        <w:pStyle w:val="Zkladntext21"/>
        <w:ind w:firstLine="284"/>
        <w:rPr>
          <w:rFonts w:ascii="Arial" w:hAnsi="Arial" w:cs="Arial"/>
          <w:sz w:val="22"/>
        </w:rPr>
      </w:pPr>
      <w:r w:rsidRPr="00BB523B">
        <w:rPr>
          <w:rFonts w:ascii="Arial" w:hAnsi="Arial" w:cs="Arial"/>
          <w:sz w:val="22"/>
        </w:rPr>
        <w:t xml:space="preserve">Z tovarového hľadiska vzrástol dovoz </w:t>
      </w:r>
      <w:r w:rsidRPr="00C903B6">
        <w:rPr>
          <w:rFonts w:ascii="Arial" w:hAnsi="Arial" w:cs="Arial"/>
          <w:bCs/>
          <w:sz w:val="22"/>
        </w:rPr>
        <w:t>častí, súčastí a príslušenstva motorových vozidiel</w:t>
      </w:r>
      <w:r w:rsidRPr="00C903B6">
        <w:rPr>
          <w:rFonts w:ascii="Arial" w:hAnsi="Arial" w:cs="Arial"/>
          <w:sz w:val="22"/>
        </w:rPr>
        <w:t xml:space="preserve"> o</w:t>
      </w:r>
      <w:r w:rsidR="00505139">
        <w:rPr>
          <w:rFonts w:ascii="Arial" w:hAnsi="Arial" w:cs="Arial"/>
          <w:sz w:val="22"/>
        </w:rPr>
        <w:t> 952,2</w:t>
      </w:r>
      <w:r w:rsidRPr="00C903B6">
        <w:rPr>
          <w:rFonts w:ascii="Arial" w:hAnsi="Arial" w:cs="Arial"/>
          <w:sz w:val="22"/>
        </w:rPr>
        <w:t> mil. </w:t>
      </w:r>
      <w:r>
        <w:rPr>
          <w:rFonts w:ascii="Arial" w:hAnsi="Arial" w:cs="Arial"/>
          <w:sz w:val="22"/>
        </w:rPr>
        <w:t>eur</w:t>
      </w:r>
      <w:r>
        <w:rPr>
          <w:rFonts w:ascii="Arial" w:hAnsi="Arial" w:cs="Arial"/>
          <w:bCs/>
          <w:sz w:val="22"/>
        </w:rPr>
        <w:t>,</w:t>
      </w:r>
      <w:r w:rsidRPr="00BB523B">
        <w:rPr>
          <w:rFonts w:ascii="Arial" w:hAnsi="Arial" w:cs="Arial"/>
          <w:sz w:val="22"/>
        </w:rPr>
        <w:t xml:space="preserve"> </w:t>
      </w:r>
      <w:r w:rsidR="00505139">
        <w:rPr>
          <w:rFonts w:ascii="Arial" w:hAnsi="Arial" w:cs="Arial"/>
          <w:sz w:val="22"/>
        </w:rPr>
        <w:t xml:space="preserve">ropných olejov a olejov získaných z bitúmenových nerastov, surových </w:t>
      </w:r>
      <w:r w:rsidR="00505139" w:rsidRPr="0070339F">
        <w:rPr>
          <w:rFonts w:ascii="Arial" w:hAnsi="Arial" w:cs="Arial"/>
          <w:sz w:val="22"/>
        </w:rPr>
        <w:t>o</w:t>
      </w:r>
      <w:r w:rsidR="00505139">
        <w:rPr>
          <w:rFonts w:ascii="Arial" w:hAnsi="Arial" w:cs="Arial"/>
          <w:sz w:val="22"/>
        </w:rPr>
        <w:t> </w:t>
      </w:r>
      <w:r w:rsidR="00DC6B0B">
        <w:rPr>
          <w:rFonts w:ascii="Arial" w:hAnsi="Arial" w:cs="Arial"/>
          <w:sz w:val="22"/>
        </w:rPr>
        <w:t>363</w:t>
      </w:r>
      <w:r w:rsidR="00505139">
        <w:rPr>
          <w:rFonts w:ascii="Arial" w:hAnsi="Arial" w:cs="Arial"/>
          <w:sz w:val="22"/>
        </w:rPr>
        <w:t> mil. eur</w:t>
      </w:r>
      <w:r w:rsidR="00505139">
        <w:rPr>
          <w:rFonts w:ascii="Arial" w:hAnsi="Arial" w:cs="Arial"/>
          <w:sz w:val="22"/>
        </w:rPr>
        <w:t>,</w:t>
      </w:r>
      <w:r w:rsidR="00505139">
        <w:rPr>
          <w:rFonts w:ascii="Arial" w:hAnsi="Arial" w:cs="Arial"/>
          <w:sz w:val="22"/>
        </w:rPr>
        <w:t xml:space="preserve"> </w:t>
      </w:r>
      <w:r w:rsidR="00DC6B0B">
        <w:rPr>
          <w:rFonts w:ascii="Arial" w:hAnsi="Arial" w:cs="Arial"/>
          <w:bCs/>
          <w:sz w:val="22"/>
        </w:rPr>
        <w:t>drôtov a káblov</w:t>
      </w:r>
      <w:r w:rsidR="00DC6B0B" w:rsidRPr="00753A42">
        <w:rPr>
          <w:rFonts w:ascii="Arial" w:hAnsi="Arial" w:cs="Arial"/>
          <w:bCs/>
          <w:sz w:val="22"/>
        </w:rPr>
        <w:t xml:space="preserve"> </w:t>
      </w:r>
      <w:r w:rsidR="00DC6B0B">
        <w:rPr>
          <w:rFonts w:ascii="Arial" w:hAnsi="Arial" w:cs="Arial"/>
          <w:sz w:val="22"/>
        </w:rPr>
        <w:t>o</w:t>
      </w:r>
      <w:r w:rsidR="00DC6B0B">
        <w:rPr>
          <w:rFonts w:ascii="Arial" w:hAnsi="Arial" w:cs="Arial"/>
          <w:sz w:val="22"/>
        </w:rPr>
        <w:t> 333,7</w:t>
      </w:r>
      <w:r w:rsidR="00DC6B0B">
        <w:rPr>
          <w:rFonts w:ascii="Arial" w:hAnsi="Arial" w:cs="Arial"/>
          <w:sz w:val="22"/>
        </w:rPr>
        <w:t> </w:t>
      </w:r>
      <w:r w:rsidR="00DC6B0B" w:rsidRPr="00BB523B">
        <w:rPr>
          <w:rFonts w:ascii="Arial" w:hAnsi="Arial" w:cs="Arial"/>
          <w:sz w:val="22"/>
        </w:rPr>
        <w:t>mil.</w:t>
      </w:r>
      <w:r w:rsidR="00DC6B0B">
        <w:rPr>
          <w:rFonts w:ascii="Arial" w:hAnsi="Arial" w:cs="Arial"/>
          <w:sz w:val="22"/>
        </w:rPr>
        <w:t> eur</w:t>
      </w:r>
      <w:r w:rsidR="00DC6B0B">
        <w:rPr>
          <w:rFonts w:ascii="Arial" w:hAnsi="Arial" w:cs="Arial"/>
          <w:sz w:val="22"/>
        </w:rPr>
        <w:t xml:space="preserve">, </w:t>
      </w:r>
      <w:r w:rsidR="00DC6B0B">
        <w:rPr>
          <w:rFonts w:ascii="Arial" w:hAnsi="Arial" w:cs="Arial"/>
          <w:bCs/>
          <w:sz w:val="22"/>
        </w:rPr>
        <w:t>vratných alebo rotačných zážihových spaľovacích piestových motorov</w:t>
      </w:r>
      <w:r w:rsidR="00DC6B0B" w:rsidRPr="00753A42">
        <w:rPr>
          <w:rFonts w:ascii="Arial" w:hAnsi="Arial" w:cs="Arial"/>
          <w:bCs/>
          <w:sz w:val="22"/>
        </w:rPr>
        <w:t xml:space="preserve"> o</w:t>
      </w:r>
      <w:r w:rsidR="00DC6B0B">
        <w:rPr>
          <w:rFonts w:ascii="Arial" w:hAnsi="Arial" w:cs="Arial"/>
          <w:bCs/>
          <w:sz w:val="22"/>
        </w:rPr>
        <w:t> 321,2</w:t>
      </w:r>
      <w:r w:rsidR="00DC6B0B" w:rsidRPr="00753A42">
        <w:rPr>
          <w:rFonts w:ascii="Arial" w:hAnsi="Arial" w:cs="Arial"/>
          <w:bCs/>
          <w:sz w:val="22"/>
        </w:rPr>
        <w:t> mil.</w:t>
      </w:r>
      <w:r w:rsidR="00DC6B0B">
        <w:rPr>
          <w:rFonts w:ascii="Arial" w:hAnsi="Arial" w:cs="Arial"/>
          <w:bCs/>
          <w:sz w:val="22"/>
        </w:rPr>
        <w:t> eur</w:t>
      </w:r>
      <w:r w:rsidR="00DC6B0B" w:rsidRPr="0070339F">
        <w:rPr>
          <w:rFonts w:ascii="Arial" w:hAnsi="Arial" w:cs="Arial"/>
          <w:sz w:val="22"/>
        </w:rPr>
        <w:t xml:space="preserve"> </w:t>
      </w:r>
      <w:r w:rsidR="00DC6B0B">
        <w:rPr>
          <w:rFonts w:ascii="Arial" w:hAnsi="Arial" w:cs="Arial"/>
          <w:sz w:val="22"/>
        </w:rPr>
        <w:t>a</w:t>
      </w:r>
      <w:r w:rsidR="00DC6B0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telefónnych súprav, vrátane telefónov pre celulárnu sieť o</w:t>
      </w:r>
      <w:r w:rsidR="00DC6B0B">
        <w:rPr>
          <w:rFonts w:ascii="Arial" w:hAnsi="Arial" w:cs="Arial"/>
          <w:sz w:val="22"/>
        </w:rPr>
        <w:t> 305,1</w:t>
      </w:r>
      <w:r>
        <w:rPr>
          <w:rFonts w:ascii="Arial" w:hAnsi="Arial" w:cs="Arial"/>
          <w:sz w:val="22"/>
        </w:rPr>
        <w:t> mil. eur</w:t>
      </w:r>
      <w:bookmarkStart w:id="1" w:name="_GoBack"/>
      <w:bookmarkEnd w:id="1"/>
      <w:r>
        <w:rPr>
          <w:rFonts w:ascii="Arial" w:hAnsi="Arial" w:cs="Arial"/>
          <w:sz w:val="22"/>
        </w:rPr>
        <w:t>.</w:t>
      </w:r>
    </w:p>
    <w:p w:rsidR="00102075" w:rsidRDefault="00102075" w:rsidP="00102075">
      <w:pPr>
        <w:pStyle w:val="BodyText21"/>
        <w:ind w:firstLine="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Významne</w:t>
      </w:r>
      <w:r w:rsidRPr="00753A42">
        <w:rPr>
          <w:rFonts w:ascii="Arial" w:hAnsi="Arial" w:cs="Arial"/>
          <w:sz w:val="22"/>
        </w:rPr>
        <w:t xml:space="preserve"> klesol dovoz </w:t>
      </w:r>
      <w:r>
        <w:rPr>
          <w:rFonts w:ascii="Arial" w:hAnsi="Arial" w:cs="Arial"/>
          <w:bCs/>
          <w:sz w:val="22"/>
        </w:rPr>
        <w:t>výrobkov s tekutými kryštálmi</w:t>
      </w:r>
      <w:r w:rsidRPr="00C903B6">
        <w:rPr>
          <w:rFonts w:ascii="Arial" w:hAnsi="Arial" w:cs="Arial"/>
          <w:sz w:val="22"/>
        </w:rPr>
        <w:t xml:space="preserve"> o</w:t>
      </w:r>
      <w:r w:rsidR="00DC6B0B">
        <w:rPr>
          <w:rFonts w:ascii="Arial" w:hAnsi="Arial" w:cs="Arial"/>
          <w:sz w:val="22"/>
        </w:rPr>
        <w:t> 311,2</w:t>
      </w:r>
      <w:r w:rsidRPr="00C903B6">
        <w:rPr>
          <w:rFonts w:ascii="Arial" w:hAnsi="Arial" w:cs="Arial"/>
          <w:sz w:val="22"/>
        </w:rPr>
        <w:t> mil. </w:t>
      </w:r>
      <w:r>
        <w:rPr>
          <w:rFonts w:ascii="Arial" w:hAnsi="Arial" w:cs="Arial"/>
          <w:sz w:val="22"/>
        </w:rPr>
        <w:t>eur a </w:t>
      </w:r>
      <w:r w:rsidRPr="008D5657">
        <w:rPr>
          <w:rFonts w:ascii="Arial" w:hAnsi="Arial" w:cs="Arial"/>
          <w:sz w:val="22"/>
          <w:szCs w:val="22"/>
        </w:rPr>
        <w:t>monitorov a projektorov, televíznych prijímačov o</w:t>
      </w:r>
      <w:r w:rsidR="00DC6B0B">
        <w:rPr>
          <w:rFonts w:ascii="Arial" w:hAnsi="Arial" w:cs="Arial"/>
          <w:sz w:val="22"/>
          <w:szCs w:val="22"/>
        </w:rPr>
        <w:t> 284,6</w:t>
      </w:r>
      <w:r w:rsidRPr="008D5657">
        <w:rPr>
          <w:rFonts w:ascii="Arial" w:hAnsi="Arial" w:cs="Arial"/>
          <w:sz w:val="22"/>
          <w:szCs w:val="22"/>
        </w:rPr>
        <w:t> mil. eur</w:t>
      </w:r>
      <w:r>
        <w:rPr>
          <w:rFonts w:ascii="Arial" w:hAnsi="Arial" w:cs="Arial"/>
          <w:sz w:val="22"/>
        </w:rPr>
        <w:t>.</w:t>
      </w:r>
    </w:p>
    <w:p w:rsidR="00102075" w:rsidRPr="00552A7D" w:rsidRDefault="00102075" w:rsidP="00102075">
      <w:pPr>
        <w:pStyle w:val="BodyText21"/>
        <w:ind w:firstLine="284"/>
        <w:rPr>
          <w:rFonts w:ascii="Arial" w:hAnsi="Arial" w:cs="Arial"/>
          <w:sz w:val="22"/>
        </w:rPr>
      </w:pPr>
    </w:p>
    <w:p w:rsidR="00102075" w:rsidRPr="0002695A" w:rsidRDefault="00102075" w:rsidP="00102075">
      <w:pPr>
        <w:pStyle w:val="Zkladntext21"/>
        <w:ind w:firstLine="284"/>
        <w:rPr>
          <w:rFonts w:ascii="Arial" w:hAnsi="Arial" w:cs="Arial"/>
          <w:sz w:val="22"/>
        </w:rPr>
      </w:pPr>
      <w:r w:rsidRPr="0002695A">
        <w:rPr>
          <w:rFonts w:ascii="Arial" w:hAnsi="Arial" w:cs="Arial"/>
          <w:sz w:val="22"/>
        </w:rPr>
        <w:t>Vo vzťahu</w:t>
      </w:r>
      <w:r w:rsidRPr="00DA0CA4">
        <w:rPr>
          <w:rFonts w:ascii="Arial" w:hAnsi="Arial" w:cs="Arial"/>
          <w:sz w:val="22"/>
        </w:rPr>
        <w:t xml:space="preserve"> k najvýznamnejším obchodným partnerom vzrástol dovoz z</w:t>
      </w:r>
      <w:r>
        <w:rPr>
          <w:rFonts w:ascii="Arial" w:hAnsi="Arial" w:cs="Arial"/>
          <w:sz w:val="22"/>
        </w:rPr>
        <w:t> </w:t>
      </w:r>
      <w:r w:rsidRPr="0002695A">
        <w:rPr>
          <w:rFonts w:ascii="Arial" w:hAnsi="Arial" w:cs="Arial"/>
          <w:sz w:val="22"/>
        </w:rPr>
        <w:t>Nemecka o</w:t>
      </w:r>
      <w:r w:rsidR="00505139">
        <w:rPr>
          <w:rFonts w:ascii="Arial" w:hAnsi="Arial" w:cs="Arial"/>
          <w:sz w:val="22"/>
        </w:rPr>
        <w:t> 9,4</w:t>
      </w:r>
      <w:r w:rsidRPr="0002695A">
        <w:rPr>
          <w:rFonts w:ascii="Arial" w:hAnsi="Arial" w:cs="Arial"/>
          <w:sz w:val="22"/>
        </w:rPr>
        <w:t xml:space="preserve"> %, Českej republiky </w:t>
      </w:r>
      <w:r>
        <w:rPr>
          <w:rFonts w:ascii="Arial" w:hAnsi="Arial" w:cs="Arial"/>
          <w:sz w:val="22"/>
        </w:rPr>
        <w:t>o</w:t>
      </w:r>
      <w:r w:rsidR="00505139">
        <w:rPr>
          <w:rFonts w:ascii="Arial" w:hAnsi="Arial" w:cs="Arial"/>
          <w:sz w:val="22"/>
        </w:rPr>
        <w:t> 4,1</w:t>
      </w:r>
      <w:r>
        <w:rPr>
          <w:rFonts w:ascii="Arial" w:hAnsi="Arial" w:cs="Arial"/>
          <w:sz w:val="22"/>
        </w:rPr>
        <w:t xml:space="preserve"> %, </w:t>
      </w:r>
      <w:r w:rsidRPr="0002695A">
        <w:rPr>
          <w:rFonts w:ascii="Arial" w:hAnsi="Arial" w:cs="Arial"/>
          <w:sz w:val="22"/>
        </w:rPr>
        <w:t>Kórejskej republiky o</w:t>
      </w:r>
      <w:r w:rsidR="00505139">
        <w:rPr>
          <w:rFonts w:ascii="Arial" w:hAnsi="Arial" w:cs="Arial"/>
          <w:sz w:val="22"/>
        </w:rPr>
        <w:t> 10,9</w:t>
      </w:r>
      <w:r w:rsidRPr="0002695A">
        <w:rPr>
          <w:rFonts w:ascii="Arial" w:hAnsi="Arial" w:cs="Arial"/>
          <w:sz w:val="22"/>
        </w:rPr>
        <w:t> %</w:t>
      </w:r>
      <w:r>
        <w:rPr>
          <w:rFonts w:ascii="Arial" w:hAnsi="Arial" w:cs="Arial"/>
          <w:sz w:val="22"/>
        </w:rPr>
        <w:t>,</w:t>
      </w:r>
      <w:r w:rsidRPr="0002695A">
        <w:rPr>
          <w:rFonts w:ascii="Arial" w:hAnsi="Arial" w:cs="Arial"/>
          <w:sz w:val="22"/>
        </w:rPr>
        <w:t xml:space="preserve"> Poľska o</w:t>
      </w:r>
      <w:r w:rsidR="00505139">
        <w:rPr>
          <w:rFonts w:ascii="Arial" w:hAnsi="Arial" w:cs="Arial"/>
          <w:sz w:val="22"/>
        </w:rPr>
        <w:t> 9,3</w:t>
      </w:r>
      <w:r w:rsidRPr="0002695A">
        <w:rPr>
          <w:rFonts w:ascii="Arial" w:hAnsi="Arial" w:cs="Arial"/>
          <w:sz w:val="22"/>
        </w:rPr>
        <w:t> %</w:t>
      </w:r>
      <w:r>
        <w:rPr>
          <w:rFonts w:ascii="Arial" w:hAnsi="Arial" w:cs="Arial"/>
          <w:sz w:val="22"/>
        </w:rPr>
        <w:t>,</w:t>
      </w:r>
      <w:r w:rsidRPr="0002695A">
        <w:rPr>
          <w:rFonts w:ascii="Arial" w:hAnsi="Arial" w:cs="Arial"/>
          <w:sz w:val="22"/>
        </w:rPr>
        <w:t xml:space="preserve"> Ruskej federácie o</w:t>
      </w:r>
      <w:r w:rsidR="00505139">
        <w:rPr>
          <w:rFonts w:ascii="Arial" w:hAnsi="Arial" w:cs="Arial"/>
          <w:sz w:val="22"/>
        </w:rPr>
        <w:t> 18,6</w:t>
      </w:r>
      <w:r>
        <w:rPr>
          <w:rFonts w:ascii="Arial" w:hAnsi="Arial" w:cs="Arial"/>
          <w:sz w:val="22"/>
        </w:rPr>
        <w:t> </w:t>
      </w:r>
      <w:r w:rsidRPr="0002695A">
        <w:rPr>
          <w:rFonts w:ascii="Arial" w:hAnsi="Arial" w:cs="Arial"/>
          <w:sz w:val="22"/>
        </w:rPr>
        <w:t xml:space="preserve">%, </w:t>
      </w:r>
      <w:r w:rsidR="00505139" w:rsidRPr="00DA0CA4">
        <w:rPr>
          <w:rFonts w:ascii="Arial" w:hAnsi="Arial" w:cs="Arial"/>
          <w:sz w:val="22"/>
        </w:rPr>
        <w:t>Maďarska o</w:t>
      </w:r>
      <w:r w:rsidR="00505139">
        <w:rPr>
          <w:rFonts w:ascii="Arial" w:hAnsi="Arial" w:cs="Arial"/>
          <w:sz w:val="22"/>
        </w:rPr>
        <w:t> 2,4</w:t>
      </w:r>
      <w:r w:rsidR="00505139" w:rsidRPr="00DA0CA4">
        <w:rPr>
          <w:rFonts w:ascii="Arial" w:hAnsi="Arial" w:cs="Arial"/>
          <w:sz w:val="22"/>
        </w:rPr>
        <w:t> %</w:t>
      </w:r>
      <w:r w:rsidR="00505139">
        <w:rPr>
          <w:rFonts w:ascii="Arial" w:hAnsi="Arial" w:cs="Arial"/>
          <w:sz w:val="22"/>
        </w:rPr>
        <w:t>,</w:t>
      </w:r>
      <w:r w:rsidR="00505139">
        <w:rPr>
          <w:rFonts w:ascii="Arial" w:hAnsi="Arial" w:cs="Arial"/>
          <w:sz w:val="22"/>
        </w:rPr>
        <w:t xml:space="preserve"> </w:t>
      </w:r>
      <w:r w:rsidRPr="0002695A">
        <w:rPr>
          <w:rFonts w:ascii="Arial" w:hAnsi="Arial" w:cs="Arial"/>
          <w:sz w:val="22"/>
        </w:rPr>
        <w:t>Talianska o</w:t>
      </w:r>
      <w:r w:rsidR="00505139">
        <w:rPr>
          <w:rFonts w:ascii="Arial" w:hAnsi="Arial" w:cs="Arial"/>
          <w:sz w:val="22"/>
        </w:rPr>
        <w:t> 12,1</w:t>
      </w:r>
      <w:r w:rsidRPr="0002695A">
        <w:rPr>
          <w:rFonts w:ascii="Arial" w:hAnsi="Arial" w:cs="Arial"/>
          <w:sz w:val="22"/>
        </w:rPr>
        <w:t> %</w:t>
      </w:r>
      <w:r>
        <w:rPr>
          <w:rFonts w:ascii="Arial" w:hAnsi="Arial" w:cs="Arial"/>
          <w:sz w:val="22"/>
        </w:rPr>
        <w:t>, Francúzska o</w:t>
      </w:r>
      <w:r w:rsidR="00505139">
        <w:rPr>
          <w:rFonts w:ascii="Arial" w:hAnsi="Arial" w:cs="Arial"/>
          <w:sz w:val="22"/>
        </w:rPr>
        <w:t> 2,2</w:t>
      </w:r>
      <w:r>
        <w:rPr>
          <w:rFonts w:ascii="Arial" w:hAnsi="Arial" w:cs="Arial"/>
          <w:sz w:val="22"/>
        </w:rPr>
        <w:t xml:space="preserve"> % </w:t>
      </w:r>
      <w:r w:rsidRPr="0002695A">
        <w:rPr>
          <w:rFonts w:ascii="Arial" w:hAnsi="Arial" w:cs="Arial"/>
          <w:sz w:val="22"/>
        </w:rPr>
        <w:t>a Rakúska o</w:t>
      </w:r>
      <w:r w:rsidR="00505139">
        <w:rPr>
          <w:rFonts w:ascii="Arial" w:hAnsi="Arial" w:cs="Arial"/>
          <w:sz w:val="22"/>
        </w:rPr>
        <w:t> 9,2</w:t>
      </w:r>
      <w:r w:rsidRPr="0002695A">
        <w:rPr>
          <w:rFonts w:ascii="Arial" w:hAnsi="Arial" w:cs="Arial"/>
          <w:sz w:val="22"/>
        </w:rPr>
        <w:t> %.</w:t>
      </w:r>
      <w:r>
        <w:rPr>
          <w:rFonts w:ascii="Arial" w:hAnsi="Arial" w:cs="Arial"/>
          <w:sz w:val="22"/>
        </w:rPr>
        <w:t xml:space="preserve"> </w:t>
      </w:r>
      <w:r w:rsidRPr="0002695A">
        <w:rPr>
          <w:rFonts w:ascii="Arial" w:hAnsi="Arial" w:cs="Arial"/>
          <w:sz w:val="22"/>
        </w:rPr>
        <w:t>Poklesol dovoz z </w:t>
      </w:r>
      <w:r>
        <w:rPr>
          <w:rFonts w:ascii="Arial" w:hAnsi="Arial" w:cs="Arial"/>
          <w:sz w:val="22"/>
        </w:rPr>
        <w:t xml:space="preserve"> </w:t>
      </w:r>
      <w:r w:rsidRPr="0002695A">
        <w:rPr>
          <w:rFonts w:ascii="Arial" w:hAnsi="Arial" w:cs="Arial"/>
          <w:sz w:val="22"/>
        </w:rPr>
        <w:t>Číny o</w:t>
      </w:r>
      <w:r w:rsidR="00505139">
        <w:rPr>
          <w:rFonts w:ascii="Arial" w:hAnsi="Arial" w:cs="Arial"/>
          <w:sz w:val="22"/>
        </w:rPr>
        <w:t> 18,7</w:t>
      </w:r>
      <w:r w:rsidRPr="0002695A">
        <w:rPr>
          <w:rFonts w:ascii="Arial" w:hAnsi="Arial" w:cs="Arial"/>
          <w:sz w:val="22"/>
        </w:rPr>
        <w:t> %</w:t>
      </w:r>
      <w:r>
        <w:rPr>
          <w:rFonts w:ascii="Arial" w:hAnsi="Arial" w:cs="Arial"/>
          <w:sz w:val="22"/>
        </w:rPr>
        <w:t xml:space="preserve"> a </w:t>
      </w:r>
      <w:r w:rsidRPr="0002695A">
        <w:rPr>
          <w:rFonts w:ascii="Arial" w:hAnsi="Arial" w:cs="Arial"/>
          <w:sz w:val="22"/>
        </w:rPr>
        <w:t>Spojeného kráľovstva o</w:t>
      </w:r>
      <w:r w:rsidR="00505139">
        <w:rPr>
          <w:rFonts w:ascii="Arial" w:hAnsi="Arial" w:cs="Arial"/>
          <w:sz w:val="22"/>
        </w:rPr>
        <w:t> 20,6</w:t>
      </w:r>
      <w:r w:rsidRPr="0002695A">
        <w:rPr>
          <w:rFonts w:ascii="Arial" w:hAnsi="Arial" w:cs="Arial"/>
          <w:sz w:val="22"/>
        </w:rPr>
        <w:t> %</w:t>
      </w:r>
      <w:r>
        <w:rPr>
          <w:rFonts w:ascii="Arial" w:hAnsi="Arial" w:cs="Arial"/>
          <w:sz w:val="22"/>
        </w:rPr>
        <w:t>.</w:t>
      </w:r>
    </w:p>
    <w:p w:rsidR="00BE030C" w:rsidRDefault="00102075" w:rsidP="00102075">
      <w:pPr>
        <w:pStyle w:val="BodyText21"/>
        <w:ind w:firstLine="284"/>
        <w:rPr>
          <w:rFonts w:ascii="Arial" w:hAnsi="Arial" w:cs="Arial"/>
          <w:sz w:val="22"/>
        </w:rPr>
      </w:pPr>
      <w:r w:rsidRPr="0002695A">
        <w:rPr>
          <w:rFonts w:ascii="Arial" w:hAnsi="Arial" w:cs="Arial"/>
          <w:sz w:val="22"/>
        </w:rPr>
        <w:t xml:space="preserve"> Z hľadiska hlavných ekonomických zoskupení sa oproti </w:t>
      </w:r>
      <w:r>
        <w:rPr>
          <w:rFonts w:ascii="Arial" w:hAnsi="Arial" w:cs="Arial"/>
          <w:sz w:val="22"/>
        </w:rPr>
        <w:t>rovnakému obdobiu roku 2017</w:t>
      </w:r>
      <w:r w:rsidRPr="0002695A">
        <w:rPr>
          <w:rFonts w:ascii="Arial" w:hAnsi="Arial" w:cs="Arial"/>
          <w:sz w:val="22"/>
        </w:rPr>
        <w:t xml:space="preserve"> zvýšil dovoz z krajín EÚ o</w:t>
      </w:r>
      <w:r>
        <w:rPr>
          <w:rFonts w:ascii="Arial" w:hAnsi="Arial" w:cs="Arial"/>
          <w:sz w:val="22"/>
        </w:rPr>
        <w:t> </w:t>
      </w:r>
      <w:r w:rsidR="00505139">
        <w:rPr>
          <w:rFonts w:ascii="Arial" w:hAnsi="Arial" w:cs="Arial"/>
          <w:sz w:val="22"/>
        </w:rPr>
        <w:t>9</w:t>
      </w:r>
      <w:r w:rsidRPr="0002695A">
        <w:rPr>
          <w:rFonts w:ascii="Arial" w:hAnsi="Arial" w:cs="Arial"/>
          <w:sz w:val="22"/>
        </w:rPr>
        <w:t xml:space="preserve"> % (tvoril </w:t>
      </w:r>
      <w:r>
        <w:rPr>
          <w:rFonts w:ascii="Arial" w:hAnsi="Arial" w:cs="Arial"/>
          <w:sz w:val="22"/>
        </w:rPr>
        <w:t>67,</w:t>
      </w:r>
      <w:r w:rsidR="00505139">
        <w:rPr>
          <w:rFonts w:ascii="Arial" w:hAnsi="Arial" w:cs="Arial"/>
          <w:sz w:val="22"/>
        </w:rPr>
        <w:t>6</w:t>
      </w:r>
      <w:r w:rsidRPr="0002695A">
        <w:rPr>
          <w:rFonts w:ascii="Arial" w:hAnsi="Arial" w:cs="Arial"/>
          <w:sz w:val="22"/>
        </w:rPr>
        <w:t> % z celkového dovozu) a</w:t>
      </w:r>
      <w:r>
        <w:rPr>
          <w:rFonts w:ascii="Arial" w:hAnsi="Arial" w:cs="Arial"/>
          <w:sz w:val="22"/>
        </w:rPr>
        <w:t> </w:t>
      </w:r>
      <w:r w:rsidRPr="0002695A">
        <w:rPr>
          <w:rFonts w:ascii="Arial" w:hAnsi="Arial" w:cs="Arial"/>
          <w:sz w:val="22"/>
        </w:rPr>
        <w:t xml:space="preserve">z krajín OECD </w:t>
      </w:r>
      <w:r>
        <w:rPr>
          <w:rFonts w:ascii="Arial" w:hAnsi="Arial" w:cs="Arial"/>
          <w:sz w:val="22"/>
        </w:rPr>
        <w:t>o</w:t>
      </w:r>
      <w:r w:rsidR="00505139">
        <w:rPr>
          <w:rFonts w:ascii="Arial" w:hAnsi="Arial" w:cs="Arial"/>
          <w:sz w:val="22"/>
        </w:rPr>
        <w:t> 5,6</w:t>
      </w:r>
      <w:r>
        <w:rPr>
          <w:rFonts w:ascii="Arial" w:hAnsi="Arial" w:cs="Arial"/>
          <w:sz w:val="22"/>
        </w:rPr>
        <w:t xml:space="preserve"> % </w:t>
      </w:r>
      <w:r w:rsidRPr="0002695A">
        <w:rPr>
          <w:rFonts w:ascii="Arial" w:hAnsi="Arial" w:cs="Arial"/>
          <w:sz w:val="22"/>
        </w:rPr>
        <w:t>(na</w:t>
      </w:r>
      <w:r>
        <w:rPr>
          <w:rFonts w:ascii="Arial" w:hAnsi="Arial" w:cs="Arial"/>
          <w:sz w:val="22"/>
        </w:rPr>
        <w:t> </w:t>
      </w:r>
      <w:r w:rsidRPr="0002695A">
        <w:rPr>
          <w:rFonts w:ascii="Arial" w:hAnsi="Arial" w:cs="Arial"/>
          <w:sz w:val="22"/>
        </w:rPr>
        <w:t xml:space="preserve">celkovom dovoze SR sa podieľal </w:t>
      </w:r>
      <w:r>
        <w:rPr>
          <w:rFonts w:ascii="Arial" w:hAnsi="Arial" w:cs="Arial"/>
          <w:sz w:val="22"/>
        </w:rPr>
        <w:t>66,</w:t>
      </w:r>
      <w:r w:rsidR="00505139">
        <w:rPr>
          <w:rFonts w:ascii="Arial" w:hAnsi="Arial" w:cs="Arial"/>
          <w:sz w:val="22"/>
        </w:rPr>
        <w:t>3</w:t>
      </w:r>
      <w:r w:rsidRPr="0002695A">
        <w:rPr>
          <w:rFonts w:ascii="Arial" w:hAnsi="Arial" w:cs="Arial"/>
          <w:sz w:val="22"/>
        </w:rPr>
        <w:t> %).</w:t>
      </w:r>
    </w:p>
    <w:p w:rsidR="00BE030C" w:rsidRDefault="00BE030C">
      <w:pPr>
        <w:pStyle w:val="Nadpis4"/>
        <w:rPr>
          <w:rFonts w:ascii="Arial" w:hAnsi="Arial" w:cs="Arial"/>
          <w:sz w:val="22"/>
        </w:rPr>
      </w:pPr>
    </w:p>
    <w:p w:rsidR="00BE030C" w:rsidRDefault="00BE030C">
      <w:pPr>
        <w:rPr>
          <w:rFonts w:ascii="Arial" w:hAnsi="Arial" w:cs="Arial"/>
          <w:sz w:val="22"/>
          <w:lang w:val="sk-SK"/>
        </w:rPr>
      </w:pPr>
    </w:p>
    <w:p w:rsidR="00BE030C" w:rsidRDefault="00BE030C">
      <w:pPr>
        <w:pStyle w:val="Nadpis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:rsidR="00BE030C" w:rsidRDefault="00BE030C">
      <w:pPr>
        <w:rPr>
          <w:rFonts w:ascii="Arial" w:hAnsi="Arial" w:cs="Arial"/>
          <w:sz w:val="22"/>
          <w:lang w:val="sk-SK"/>
        </w:rPr>
      </w:pPr>
    </w:p>
    <w:p w:rsidR="00BE030C" w:rsidRDefault="00BE030C">
      <w:pPr>
        <w:rPr>
          <w:rFonts w:ascii="Arial" w:hAnsi="Arial" w:cs="Arial"/>
          <w:sz w:val="22"/>
          <w:lang w:val="sk-SK"/>
        </w:rPr>
      </w:pPr>
    </w:p>
    <w:p w:rsidR="00BE030C" w:rsidRDefault="00BE030C">
      <w:pPr>
        <w:rPr>
          <w:rFonts w:ascii="Arial" w:hAnsi="Arial" w:cs="Arial"/>
          <w:sz w:val="22"/>
          <w:lang w:val="sk-SK"/>
        </w:rPr>
      </w:pPr>
    </w:p>
    <w:p w:rsidR="00BE030C" w:rsidRDefault="00BE030C">
      <w:pPr>
        <w:rPr>
          <w:rFonts w:ascii="Arial" w:hAnsi="Arial" w:cs="Arial"/>
          <w:sz w:val="22"/>
          <w:lang w:val="sk-SK"/>
        </w:rPr>
      </w:pPr>
    </w:p>
    <w:p w:rsidR="00BE030C" w:rsidRDefault="00BE030C">
      <w:pPr>
        <w:pStyle w:val="Nadpis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Poznámky k tabuľkám</w:t>
      </w:r>
    </w:p>
    <w:p w:rsidR="00BE030C" w:rsidRDefault="00BE030C">
      <w:pPr>
        <w:rPr>
          <w:rFonts w:ascii="Arial" w:hAnsi="Arial" w:cs="Arial"/>
          <w:sz w:val="22"/>
        </w:rPr>
      </w:pPr>
    </w:p>
    <w:p w:rsidR="00BE030C" w:rsidRDefault="00BE030C">
      <w:pPr>
        <w:tabs>
          <w:tab w:val="left" w:pos="426"/>
        </w:tabs>
        <w:ind w:left="567" w:right="283" w:hanging="567"/>
        <w:jc w:val="both"/>
        <w:rPr>
          <w:rFonts w:ascii="Arial" w:hAnsi="Arial" w:cs="Arial"/>
          <w:sz w:val="22"/>
          <w:lang w:val="sk-SK"/>
        </w:rPr>
      </w:pPr>
      <w:r>
        <w:rPr>
          <w:rFonts w:ascii="Arial" w:hAnsi="Arial" w:cs="Arial"/>
          <w:b/>
          <w:sz w:val="22"/>
          <w:lang w:val="sk-SK"/>
        </w:rPr>
        <w:t xml:space="preserve">(0) </w:t>
      </w:r>
      <w:r>
        <w:rPr>
          <w:rFonts w:ascii="Arial" w:hAnsi="Arial" w:cs="Arial"/>
          <w:sz w:val="22"/>
          <w:lang w:val="sk-SK"/>
        </w:rPr>
        <w:t>- znamená, že realizácia dovozu resp. vývozu bola menšia ako najmenšia jednotka vyjadrená v tabuľke</w:t>
      </w:r>
    </w:p>
    <w:p w:rsidR="00BE030C" w:rsidRDefault="00BE030C">
      <w:pPr>
        <w:tabs>
          <w:tab w:val="left" w:pos="425"/>
        </w:tabs>
        <w:ind w:left="567" w:hanging="567"/>
        <w:jc w:val="both"/>
        <w:rPr>
          <w:rFonts w:ascii="Arial" w:hAnsi="Arial" w:cs="Arial"/>
          <w:sz w:val="22"/>
          <w:lang w:val="sk-SK"/>
        </w:rPr>
      </w:pPr>
      <w:r>
        <w:rPr>
          <w:rFonts w:ascii="Arial" w:hAnsi="Arial" w:cs="Arial"/>
          <w:b/>
          <w:sz w:val="22"/>
          <w:lang w:val="sk-SK"/>
        </w:rPr>
        <w:t>(-)</w:t>
      </w:r>
      <w:r>
        <w:rPr>
          <w:rFonts w:ascii="Arial" w:hAnsi="Arial" w:cs="Arial"/>
          <w:sz w:val="22"/>
          <w:lang w:val="sk-SK"/>
        </w:rPr>
        <w:t xml:space="preserve">   - znamená, že jav sa nevyskytoval</w:t>
      </w:r>
    </w:p>
    <w:p w:rsidR="00BE030C" w:rsidRDefault="00BE030C">
      <w:pPr>
        <w:tabs>
          <w:tab w:val="left" w:pos="426"/>
        </w:tabs>
        <w:rPr>
          <w:rFonts w:ascii="Arial" w:hAnsi="Arial" w:cs="Arial"/>
          <w:sz w:val="22"/>
          <w:lang w:val="sk-SK"/>
        </w:rPr>
      </w:pPr>
      <w:r>
        <w:rPr>
          <w:rFonts w:ascii="Arial" w:hAnsi="Arial" w:cs="Arial"/>
          <w:b/>
          <w:sz w:val="22"/>
          <w:lang w:val="sk-SK"/>
        </w:rPr>
        <w:t>(x)</w:t>
      </w:r>
      <w:r>
        <w:rPr>
          <w:rFonts w:ascii="Arial" w:hAnsi="Arial" w:cs="Arial"/>
          <w:sz w:val="22"/>
          <w:lang w:val="sk-SK"/>
        </w:rPr>
        <w:t xml:space="preserve">  - znamená, že zápis nie je možný z logických dôvodov;</w:t>
      </w:r>
      <w:r>
        <w:rPr>
          <w:rFonts w:ascii="Arial" w:hAnsi="Arial" w:cs="Arial"/>
          <w:sz w:val="22"/>
          <w:lang w:val="sk-SK"/>
        </w:rPr>
        <w:br/>
        <w:t xml:space="preserve">         v stĺpci indexy x pri čísle znamená násobok</w:t>
      </w:r>
    </w:p>
    <w:p w:rsidR="00BE030C" w:rsidRDefault="00BE030C">
      <w:pPr>
        <w:tabs>
          <w:tab w:val="left" w:pos="426"/>
        </w:tabs>
        <w:jc w:val="both"/>
        <w:rPr>
          <w:rFonts w:ascii="Arial" w:hAnsi="Arial" w:cs="Arial"/>
          <w:sz w:val="22"/>
          <w:lang w:val="sk-SK"/>
        </w:rPr>
      </w:pPr>
      <w:r>
        <w:rPr>
          <w:rFonts w:ascii="Arial" w:hAnsi="Arial" w:cs="Arial"/>
          <w:b/>
          <w:sz w:val="22"/>
          <w:lang w:val="sk-SK"/>
        </w:rPr>
        <w:t>(.)</w:t>
      </w:r>
      <w:r>
        <w:rPr>
          <w:rFonts w:ascii="Arial" w:hAnsi="Arial" w:cs="Arial"/>
          <w:sz w:val="22"/>
          <w:lang w:val="sk-SK"/>
        </w:rPr>
        <w:t xml:space="preserve">   - znamená, že údaj nie je k dispozícii alebo je nespoľahlivý</w:t>
      </w:r>
    </w:p>
    <w:p w:rsidR="00BE030C" w:rsidRDefault="00BE030C">
      <w:pPr>
        <w:pStyle w:val="Nadpis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Prípadné rozdiely na poslednom mieste sú zo zaokrúhľovania.</w:t>
      </w:r>
    </w:p>
    <w:p w:rsidR="001F014E" w:rsidRDefault="001F014E" w:rsidP="001F014E">
      <w:pPr>
        <w:rPr>
          <w:lang w:val="sk-SK"/>
        </w:rPr>
      </w:pPr>
    </w:p>
    <w:p w:rsidR="001F014E" w:rsidRDefault="001F014E" w:rsidP="001F014E">
      <w:pPr>
        <w:rPr>
          <w:lang w:val="sk-SK"/>
        </w:rPr>
      </w:pPr>
    </w:p>
    <w:p w:rsidR="001F014E" w:rsidRDefault="001F014E" w:rsidP="001F014E">
      <w:pPr>
        <w:rPr>
          <w:lang w:val="sk-SK"/>
        </w:rPr>
      </w:pPr>
    </w:p>
    <w:p w:rsidR="001F014E" w:rsidRDefault="001F014E" w:rsidP="001F014E">
      <w:pPr>
        <w:rPr>
          <w:lang w:val="sk-SK"/>
        </w:rPr>
      </w:pPr>
    </w:p>
    <w:p w:rsidR="001F014E" w:rsidRDefault="001F014E" w:rsidP="001F014E">
      <w:pPr>
        <w:rPr>
          <w:lang w:val="sk-SK"/>
        </w:rPr>
      </w:pPr>
    </w:p>
    <w:p w:rsidR="001F014E" w:rsidRDefault="001F014E" w:rsidP="001F014E">
      <w:pPr>
        <w:rPr>
          <w:lang w:val="sk-SK"/>
        </w:rPr>
      </w:pPr>
    </w:p>
    <w:p w:rsidR="001F014E" w:rsidRDefault="001F014E" w:rsidP="001F014E">
      <w:pPr>
        <w:rPr>
          <w:lang w:val="sk-SK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1"/>
        <w:gridCol w:w="7681"/>
      </w:tblGrid>
      <w:tr w:rsidR="001F014E" w:rsidRPr="00815C4E" w:rsidTr="008D68BD">
        <w:trPr>
          <w:tblCellSpacing w:w="15" w:type="dxa"/>
        </w:trPr>
        <w:tc>
          <w:tcPr>
            <w:tcW w:w="0" w:type="auto"/>
            <w:hideMark/>
          </w:tcPr>
          <w:p w:rsidR="001F014E" w:rsidRPr="00CB7B09" w:rsidRDefault="001F014E" w:rsidP="008D68BD">
            <w:pPr>
              <w:pStyle w:val="Normlnywebov"/>
              <w:textAlignment w:val="top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B7B09">
              <w:rPr>
                <w:rStyle w:val="Siln"/>
                <w:rFonts w:ascii="Arial" w:hAnsi="Arial" w:cs="Arial"/>
                <w:color w:val="auto"/>
                <w:sz w:val="22"/>
                <w:szCs w:val="22"/>
              </w:rPr>
              <w:t>Upozornenie:</w:t>
            </w:r>
          </w:p>
        </w:tc>
        <w:tc>
          <w:tcPr>
            <w:tcW w:w="0" w:type="auto"/>
            <w:hideMark/>
          </w:tcPr>
          <w:p w:rsidR="001F014E" w:rsidRPr="00CB7B09" w:rsidRDefault="001F014E" w:rsidP="008D68BD">
            <w:pPr>
              <w:pStyle w:val="Normlnywebov"/>
              <w:textAlignment w:val="top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B7B09">
              <w:rPr>
                <w:rStyle w:val="Siln"/>
                <w:rFonts w:ascii="Arial" w:hAnsi="Arial" w:cs="Arial"/>
                <w:color w:val="auto"/>
                <w:sz w:val="22"/>
                <w:szCs w:val="22"/>
              </w:rPr>
              <w:t>Pri uverejnení celej informatívnej správy alebo jej časti žiadame uviesť zdroj informácií Štatistický úrad Slovenskej republiky!</w:t>
            </w:r>
          </w:p>
        </w:tc>
      </w:tr>
    </w:tbl>
    <w:p w:rsidR="001F014E" w:rsidRPr="001F014E" w:rsidRDefault="001F014E" w:rsidP="001F014E">
      <w:pPr>
        <w:rPr>
          <w:lang w:val="sk-SK"/>
        </w:rPr>
      </w:pPr>
    </w:p>
    <w:sectPr w:rsidR="001F014E" w:rsidRPr="001F014E" w:rsidSect="00BE030C">
      <w:pgSz w:w="11906" w:h="16838"/>
      <w:pgMar w:top="1078" w:right="1417" w:bottom="53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597" w:rsidRDefault="00904597">
      <w:r>
        <w:separator/>
      </w:r>
    </w:p>
  </w:endnote>
  <w:endnote w:type="continuationSeparator" w:id="0">
    <w:p w:rsidR="00904597" w:rsidRDefault="00904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597" w:rsidRDefault="00904597">
      <w:r>
        <w:separator/>
      </w:r>
    </w:p>
  </w:footnote>
  <w:footnote w:type="continuationSeparator" w:id="0">
    <w:p w:rsidR="00904597" w:rsidRDefault="00904597">
      <w:r>
        <w:continuationSeparator/>
      </w:r>
    </w:p>
  </w:footnote>
  <w:footnote w:id="1">
    <w:p w:rsidR="001E32DB" w:rsidRDefault="001E32DB" w:rsidP="001E32DB">
      <w:pPr>
        <w:pStyle w:val="Textpoznmkypodiarou"/>
        <w:ind w:left="198" w:hanging="198"/>
        <w:jc w:val="both"/>
        <w:rPr>
          <w:rFonts w:ascii="Arial" w:hAnsi="Arial" w:cs="Arial"/>
          <w:i/>
          <w:iCs/>
          <w:sz w:val="18"/>
        </w:rPr>
      </w:pPr>
      <w:r w:rsidRPr="009A2FBF">
        <w:rPr>
          <w:rStyle w:val="Odkaznapoznmkupodiarou"/>
          <w:rFonts w:ascii="Arial" w:hAnsi="Arial" w:cs="Arial"/>
        </w:rPr>
        <w:t>1)</w:t>
      </w:r>
      <w:r>
        <w:rPr>
          <w:rFonts w:ascii="Arial" w:hAnsi="Arial" w:cs="Arial"/>
          <w:i/>
          <w:iCs/>
          <w:sz w:val="18"/>
        </w:rPr>
        <w:t xml:space="preserve"> Údaje sú predbežné (v bežných cenách v hodnote typu FOB), vypracované Štatistickým úradom SR na základe údajov Colnej sekcie Finančného riaditeľstva SR získaných v rámci colného konania a z  INTRASTAT-SK hlásení poskytnutých príjemcami a odosielateľmi tovaru. </w:t>
      </w:r>
    </w:p>
    <w:p w:rsidR="001E32DB" w:rsidRDefault="001E32DB" w:rsidP="001E32DB">
      <w:pPr>
        <w:pStyle w:val="Textpoznmkypodiarou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030C"/>
    <w:rsid w:val="00014489"/>
    <w:rsid w:val="000D4F9A"/>
    <w:rsid w:val="000E3859"/>
    <w:rsid w:val="000E5D6B"/>
    <w:rsid w:val="000F3BAB"/>
    <w:rsid w:val="000F7111"/>
    <w:rsid w:val="00102075"/>
    <w:rsid w:val="001552B0"/>
    <w:rsid w:val="00181CAA"/>
    <w:rsid w:val="001844CC"/>
    <w:rsid w:val="00190B05"/>
    <w:rsid w:val="001E32DB"/>
    <w:rsid w:val="001F014E"/>
    <w:rsid w:val="001F30E1"/>
    <w:rsid w:val="002447A4"/>
    <w:rsid w:val="00294F5B"/>
    <w:rsid w:val="002953B1"/>
    <w:rsid w:val="0029731B"/>
    <w:rsid w:val="002C151E"/>
    <w:rsid w:val="002E3438"/>
    <w:rsid w:val="00347104"/>
    <w:rsid w:val="0035529C"/>
    <w:rsid w:val="003D6E63"/>
    <w:rsid w:val="00404B06"/>
    <w:rsid w:val="00445FEF"/>
    <w:rsid w:val="00454BF4"/>
    <w:rsid w:val="00457EAD"/>
    <w:rsid w:val="00471F6F"/>
    <w:rsid w:val="00491DFD"/>
    <w:rsid w:val="004E79DF"/>
    <w:rsid w:val="004F24CC"/>
    <w:rsid w:val="00505139"/>
    <w:rsid w:val="00524B28"/>
    <w:rsid w:val="00541FFB"/>
    <w:rsid w:val="00544546"/>
    <w:rsid w:val="0057404A"/>
    <w:rsid w:val="005A1B66"/>
    <w:rsid w:val="005C1531"/>
    <w:rsid w:val="005E4619"/>
    <w:rsid w:val="005F3EB6"/>
    <w:rsid w:val="00611D65"/>
    <w:rsid w:val="00667A92"/>
    <w:rsid w:val="006C73BD"/>
    <w:rsid w:val="006E454B"/>
    <w:rsid w:val="006F54A5"/>
    <w:rsid w:val="008242B4"/>
    <w:rsid w:val="0086108F"/>
    <w:rsid w:val="00893DD2"/>
    <w:rsid w:val="008D47B1"/>
    <w:rsid w:val="008F64ED"/>
    <w:rsid w:val="00904597"/>
    <w:rsid w:val="00963BB2"/>
    <w:rsid w:val="00994C25"/>
    <w:rsid w:val="00A15165"/>
    <w:rsid w:val="00A27D66"/>
    <w:rsid w:val="00A351FE"/>
    <w:rsid w:val="00AC66AD"/>
    <w:rsid w:val="00B01BA3"/>
    <w:rsid w:val="00BB5F9A"/>
    <w:rsid w:val="00BE030C"/>
    <w:rsid w:val="00BE73EF"/>
    <w:rsid w:val="00C0136A"/>
    <w:rsid w:val="00C03923"/>
    <w:rsid w:val="00C3272F"/>
    <w:rsid w:val="00C61B15"/>
    <w:rsid w:val="00CA5A34"/>
    <w:rsid w:val="00CB7AE8"/>
    <w:rsid w:val="00CE0289"/>
    <w:rsid w:val="00D01115"/>
    <w:rsid w:val="00D433CF"/>
    <w:rsid w:val="00DC6B0B"/>
    <w:rsid w:val="00DE1F62"/>
    <w:rsid w:val="00E34CB2"/>
    <w:rsid w:val="00E4427D"/>
    <w:rsid w:val="00E46ABC"/>
    <w:rsid w:val="00EB36E8"/>
    <w:rsid w:val="00ED1161"/>
    <w:rsid w:val="00F6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8DF87D4-6F0B-4F64-A3F2-A9D96FDE1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0136A"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C0136A"/>
    <w:pPr>
      <w:keepNext/>
      <w:outlineLvl w:val="0"/>
    </w:pPr>
    <w:rPr>
      <w:b/>
      <w:sz w:val="28"/>
      <w:szCs w:val="20"/>
      <w:lang w:val="sk-SK"/>
    </w:rPr>
  </w:style>
  <w:style w:type="paragraph" w:styleId="Nadpis2">
    <w:name w:val="heading 2"/>
    <w:basedOn w:val="Normlny"/>
    <w:next w:val="Normlny"/>
    <w:link w:val="Nadpis2Char"/>
    <w:uiPriority w:val="9"/>
    <w:qFormat/>
    <w:rsid w:val="00C0136A"/>
    <w:pPr>
      <w:keepNext/>
      <w:jc w:val="both"/>
      <w:outlineLvl w:val="1"/>
    </w:pPr>
    <w:rPr>
      <w:b/>
      <w:szCs w:val="20"/>
      <w:lang w:val="sk-SK"/>
    </w:rPr>
  </w:style>
  <w:style w:type="paragraph" w:styleId="Nadpis3">
    <w:name w:val="heading 3"/>
    <w:basedOn w:val="Normlny"/>
    <w:next w:val="Normlny"/>
    <w:link w:val="Nadpis3Char"/>
    <w:uiPriority w:val="9"/>
    <w:qFormat/>
    <w:rsid w:val="00C0136A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b/>
      <w:szCs w:val="20"/>
      <w:lang w:val="sk-SK"/>
    </w:rPr>
  </w:style>
  <w:style w:type="paragraph" w:styleId="Nadpis4">
    <w:name w:val="heading 4"/>
    <w:basedOn w:val="Normlny"/>
    <w:next w:val="Normlny"/>
    <w:link w:val="Nadpis4Char"/>
    <w:uiPriority w:val="9"/>
    <w:qFormat/>
    <w:rsid w:val="00C0136A"/>
    <w:pPr>
      <w:keepNext/>
      <w:tabs>
        <w:tab w:val="left" w:pos="0"/>
      </w:tabs>
      <w:overflowPunct w:val="0"/>
      <w:autoSpaceDE w:val="0"/>
      <w:autoSpaceDN w:val="0"/>
      <w:adjustRightInd w:val="0"/>
      <w:spacing w:before="120"/>
      <w:jc w:val="both"/>
      <w:textAlignment w:val="baseline"/>
      <w:outlineLvl w:val="3"/>
    </w:pPr>
    <w:rPr>
      <w:szCs w:val="20"/>
      <w:lang w:val="sk-SK"/>
    </w:rPr>
  </w:style>
  <w:style w:type="paragraph" w:styleId="Nadpis5">
    <w:name w:val="heading 5"/>
    <w:basedOn w:val="Normlny"/>
    <w:next w:val="Normlny"/>
    <w:link w:val="Nadpis5Char"/>
    <w:uiPriority w:val="9"/>
    <w:qFormat/>
    <w:rsid w:val="00C0136A"/>
    <w:pPr>
      <w:keepNext/>
      <w:tabs>
        <w:tab w:val="left" w:pos="993"/>
      </w:tabs>
      <w:ind w:right="-108"/>
      <w:outlineLvl w:val="4"/>
    </w:pPr>
    <w:rPr>
      <w:b/>
      <w:sz w:val="28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030C"/>
    <w:rPr>
      <w:rFonts w:ascii="Cambria" w:eastAsia="Times New Roman" w:hAnsi="Cambria" w:cs="Times New Roman"/>
      <w:b/>
      <w:bCs/>
      <w:kern w:val="32"/>
      <w:sz w:val="32"/>
      <w:szCs w:val="32"/>
      <w:lang w:val="cs-CZ" w:eastAsia="cs-CZ"/>
    </w:rPr>
  </w:style>
  <w:style w:type="character" w:customStyle="1" w:styleId="Nadpis2Char">
    <w:name w:val="Nadpis 2 Char"/>
    <w:link w:val="Nadpis2"/>
    <w:uiPriority w:val="9"/>
    <w:semiHidden/>
    <w:rsid w:val="00BE030C"/>
    <w:rPr>
      <w:rFonts w:ascii="Cambria" w:eastAsia="Times New Roman" w:hAnsi="Cambria" w:cs="Times New Roman"/>
      <w:b/>
      <w:bCs/>
      <w:i/>
      <w:iCs/>
      <w:sz w:val="28"/>
      <w:szCs w:val="28"/>
      <w:lang w:val="cs-CZ" w:eastAsia="cs-CZ"/>
    </w:rPr>
  </w:style>
  <w:style w:type="character" w:customStyle="1" w:styleId="Nadpis3Char">
    <w:name w:val="Nadpis 3 Char"/>
    <w:link w:val="Nadpis3"/>
    <w:uiPriority w:val="9"/>
    <w:semiHidden/>
    <w:rsid w:val="00BE030C"/>
    <w:rPr>
      <w:rFonts w:ascii="Cambria" w:eastAsia="Times New Roman" w:hAnsi="Cambria" w:cs="Times New Roman"/>
      <w:b/>
      <w:bCs/>
      <w:sz w:val="26"/>
      <w:szCs w:val="26"/>
      <w:lang w:val="cs-CZ" w:eastAsia="cs-CZ"/>
    </w:rPr>
  </w:style>
  <w:style w:type="character" w:customStyle="1" w:styleId="Nadpis4Char">
    <w:name w:val="Nadpis 4 Char"/>
    <w:link w:val="Nadpis4"/>
    <w:uiPriority w:val="9"/>
    <w:semiHidden/>
    <w:rsid w:val="00BE030C"/>
    <w:rPr>
      <w:rFonts w:ascii="Calibri" w:eastAsia="Times New Roman" w:hAnsi="Calibri" w:cs="Times New Roman"/>
      <w:b/>
      <w:bCs/>
      <w:sz w:val="28"/>
      <w:szCs w:val="28"/>
      <w:lang w:val="cs-CZ" w:eastAsia="cs-CZ"/>
    </w:rPr>
  </w:style>
  <w:style w:type="character" w:customStyle="1" w:styleId="Nadpis5Char">
    <w:name w:val="Nadpis 5 Char"/>
    <w:link w:val="Nadpis5"/>
    <w:uiPriority w:val="9"/>
    <w:semiHidden/>
    <w:rsid w:val="00BE030C"/>
    <w:rPr>
      <w:rFonts w:ascii="Calibri" w:eastAsia="Times New Roman" w:hAnsi="Calibri" w:cs="Times New Roman"/>
      <w:b/>
      <w:bCs/>
      <w:i/>
      <w:iCs/>
      <w:sz w:val="26"/>
      <w:szCs w:val="26"/>
      <w:lang w:val="cs-CZ" w:eastAsia="cs-CZ"/>
    </w:rPr>
  </w:style>
  <w:style w:type="paragraph" w:styleId="Textpoznmkypodiarou">
    <w:name w:val="footnote text"/>
    <w:basedOn w:val="Normlny"/>
    <w:link w:val="TextpoznmkypodiarouChar"/>
    <w:semiHidden/>
    <w:rsid w:val="00C0136A"/>
    <w:rPr>
      <w:sz w:val="20"/>
      <w:szCs w:val="20"/>
      <w:lang w:val="sk-SK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BE030C"/>
    <w:rPr>
      <w:lang w:val="cs-CZ" w:eastAsia="cs-CZ"/>
    </w:rPr>
  </w:style>
  <w:style w:type="character" w:styleId="Odkaznapoznmkupodiarou">
    <w:name w:val="footnote reference"/>
    <w:semiHidden/>
    <w:rsid w:val="00C0136A"/>
    <w:rPr>
      <w:rFonts w:cs="Times New Roman"/>
      <w:vertAlign w:val="superscript"/>
    </w:rPr>
  </w:style>
  <w:style w:type="paragraph" w:customStyle="1" w:styleId="BodyText21">
    <w:name w:val="Body Text 21"/>
    <w:basedOn w:val="Normlny"/>
    <w:rsid w:val="00C0136A"/>
    <w:pPr>
      <w:ind w:firstLine="708"/>
      <w:jc w:val="both"/>
    </w:pPr>
    <w:rPr>
      <w:szCs w:val="20"/>
      <w:lang w:val="sk-SK"/>
    </w:rPr>
  </w:style>
  <w:style w:type="paragraph" w:customStyle="1" w:styleId="BodyTextIndent21">
    <w:name w:val="Body Text Indent 21"/>
    <w:basedOn w:val="Normlny"/>
    <w:rsid w:val="00C0136A"/>
    <w:pPr>
      <w:ind w:firstLine="708"/>
      <w:jc w:val="both"/>
    </w:pPr>
    <w:rPr>
      <w:sz w:val="22"/>
      <w:szCs w:val="20"/>
      <w:lang w:val="sk-SK"/>
    </w:rPr>
  </w:style>
  <w:style w:type="paragraph" w:customStyle="1" w:styleId="BodyTextIndent31">
    <w:name w:val="Body Text Indent 31"/>
    <w:basedOn w:val="Normlny"/>
    <w:rsid w:val="00C0136A"/>
    <w:pPr>
      <w:overflowPunct w:val="0"/>
      <w:autoSpaceDE w:val="0"/>
      <w:autoSpaceDN w:val="0"/>
      <w:adjustRightInd w:val="0"/>
      <w:ind w:right="283" w:firstLine="708"/>
      <w:jc w:val="both"/>
      <w:textAlignment w:val="baseline"/>
    </w:pPr>
    <w:rPr>
      <w:sz w:val="22"/>
      <w:szCs w:val="20"/>
      <w:lang w:val="sk-SK"/>
    </w:rPr>
  </w:style>
  <w:style w:type="character" w:styleId="Zvraznenie">
    <w:name w:val="Emphasis"/>
    <w:uiPriority w:val="20"/>
    <w:qFormat/>
    <w:rsid w:val="00C0136A"/>
    <w:rPr>
      <w:rFonts w:cs="Times New Roman"/>
      <w:i/>
      <w:iCs/>
    </w:rPr>
  </w:style>
  <w:style w:type="paragraph" w:styleId="Zarkazkladnhotextu">
    <w:name w:val="Body Text Indent"/>
    <w:basedOn w:val="Normlny"/>
    <w:link w:val="ZarkazkladnhotextuChar"/>
    <w:uiPriority w:val="99"/>
    <w:semiHidden/>
    <w:rsid w:val="00C0136A"/>
    <w:pPr>
      <w:ind w:firstLine="720"/>
      <w:jc w:val="both"/>
    </w:pPr>
    <w:rPr>
      <w:bCs/>
      <w:color w:val="FF0000"/>
      <w:lang w:val="sk-SK"/>
    </w:rPr>
  </w:style>
  <w:style w:type="character" w:customStyle="1" w:styleId="ZarkazkladnhotextuChar">
    <w:name w:val="Zarážka základného textu Char"/>
    <w:link w:val="Zarkazkladnhotextu"/>
    <w:uiPriority w:val="99"/>
    <w:semiHidden/>
    <w:rsid w:val="00BE030C"/>
    <w:rPr>
      <w:sz w:val="24"/>
      <w:szCs w:val="24"/>
      <w:lang w:val="cs-CZ" w:eastAsia="cs-CZ"/>
    </w:rPr>
  </w:style>
  <w:style w:type="paragraph" w:styleId="Normlnywebov">
    <w:name w:val="Normal (Web)"/>
    <w:basedOn w:val="Normlny"/>
    <w:uiPriority w:val="99"/>
    <w:unhideWhenUsed/>
    <w:rsid w:val="001F014E"/>
    <w:pPr>
      <w:spacing w:after="100" w:afterAutospacing="1"/>
    </w:pPr>
    <w:rPr>
      <w:rFonts w:ascii="Tahoma" w:hAnsi="Tahoma" w:cs="Tahoma"/>
      <w:color w:val="084887"/>
      <w:sz w:val="17"/>
      <w:szCs w:val="17"/>
      <w:lang w:val="sk-SK" w:eastAsia="sk-SK"/>
    </w:rPr>
  </w:style>
  <w:style w:type="character" w:styleId="Siln">
    <w:name w:val="Strong"/>
    <w:uiPriority w:val="22"/>
    <w:qFormat/>
    <w:rsid w:val="001F014E"/>
    <w:rPr>
      <w:b/>
      <w:bCs/>
    </w:rPr>
  </w:style>
  <w:style w:type="paragraph" w:customStyle="1" w:styleId="Zkladntext21">
    <w:name w:val="Základný text 21"/>
    <w:basedOn w:val="Normlny"/>
    <w:rsid w:val="00102075"/>
    <w:pPr>
      <w:ind w:firstLine="708"/>
      <w:jc w:val="both"/>
    </w:pPr>
    <w:rPr>
      <w:szCs w:val="20"/>
      <w:lang w:val="sk-SK"/>
    </w:rPr>
  </w:style>
  <w:style w:type="paragraph" w:customStyle="1" w:styleId="Zkladntext22">
    <w:name w:val="Základný text 22"/>
    <w:basedOn w:val="Normlny"/>
    <w:rsid w:val="00102075"/>
    <w:pPr>
      <w:ind w:firstLine="708"/>
      <w:jc w:val="both"/>
    </w:pPr>
    <w:rPr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E454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E454B"/>
    <w:rPr>
      <w:rFonts w:ascii="Segoe UI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1418</TotalTime>
  <Pages>2</Pages>
  <Words>676</Words>
  <Characters>3855</Characters>
  <Application>Microsoft Office Word</Application>
  <DocSecurity>0</DocSecurity>
  <Lines>32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ŠTATISTICKÝ ÚRAD</vt:lpstr>
      <vt:lpstr>ŠTATISTICKÝ ÚRAD</vt:lpstr>
    </vt:vector>
  </TitlesOfParts>
  <Company>Štatistický úrad SR</Company>
  <LinksUpToDate>false</LinksUpToDate>
  <CharactersWithSpaces>4522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ŠTATISTICKÝ ÚRAD</dc:title>
  <dc:subject/>
  <dc:creator>******</dc:creator>
  <cp:keywords/>
  <dc:description/>
  <cp:lastModifiedBy>Stajníková Viera</cp:lastModifiedBy>
  <cp:revision>130</cp:revision>
  <cp:lastPrinted>2018-11-02T13:57:00Z</cp:lastPrinted>
  <dcterms:created xsi:type="dcterms:W3CDTF">2004-06-17T07:26:00Z</dcterms:created>
  <dcterms:modified xsi:type="dcterms:W3CDTF">2018-11-02T13:59:00Z</dcterms:modified>
</cp:coreProperties>
</file>